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F" w:rsidRDefault="009C21EF" w:rsidP="009C21EF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9C21EF" w:rsidRPr="0030118B" w:rsidRDefault="009C21EF" w:rsidP="009C21EF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9C21EF" w:rsidTr="009C21EF">
        <w:trPr>
          <w:trHeight w:val="456"/>
          <w:jc w:val="center"/>
        </w:trPr>
        <w:tc>
          <w:tcPr>
            <w:tcW w:w="925" w:type="pct"/>
            <w:vAlign w:val="center"/>
          </w:tcPr>
          <w:p w:rsidR="009C21EF" w:rsidRPr="00DF68CB" w:rsidRDefault="009C21EF" w:rsidP="00773290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9C21EF" w:rsidRPr="00DF68CB" w:rsidRDefault="009C21EF" w:rsidP="007732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9C21EF" w:rsidRPr="00DF68CB" w:rsidRDefault="009C21EF" w:rsidP="007732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C21EF" w:rsidTr="009C21EF">
        <w:trPr>
          <w:trHeight w:val="742"/>
          <w:jc w:val="center"/>
        </w:trPr>
        <w:tc>
          <w:tcPr>
            <w:tcW w:w="925" w:type="pct"/>
            <w:vAlign w:val="center"/>
          </w:tcPr>
          <w:p w:rsidR="009C21EF" w:rsidRPr="00DF68CB" w:rsidRDefault="009C21EF" w:rsidP="009C21EF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9C21EF" w:rsidRPr="00DF68CB" w:rsidRDefault="009C21EF" w:rsidP="00773290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2716D">
              <w:rPr>
                <w:rFonts w:ascii="宋体" w:hAnsi="宋体" w:hint="eastAsia"/>
                <w:b/>
                <w:sz w:val="24"/>
              </w:rPr>
              <w:t>长程动态心电记录仪</w:t>
            </w:r>
          </w:p>
        </w:tc>
        <w:tc>
          <w:tcPr>
            <w:tcW w:w="1455" w:type="pct"/>
            <w:vAlign w:val="center"/>
          </w:tcPr>
          <w:p w:rsidR="009C21EF" w:rsidRPr="00DF68CB" w:rsidRDefault="009C21EF" w:rsidP="00773290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3套</w:t>
            </w:r>
          </w:p>
        </w:tc>
      </w:tr>
    </w:tbl>
    <w:p w:rsidR="009C21EF" w:rsidRPr="003047D6" w:rsidRDefault="009C21EF" w:rsidP="009C21EF">
      <w:pPr>
        <w:spacing w:beforeLines="50" w:afterLines="50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9C21EF" w:rsidRDefault="009C21EF" w:rsidP="009C21EF">
      <w:pPr>
        <w:pStyle w:val="a4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1D2515">
        <w:rPr>
          <w:rFonts w:ascii="宋体" w:hAnsi="宋体" w:hint="eastAsia"/>
          <w:b/>
          <w:bCs/>
          <w:sz w:val="24"/>
        </w:rPr>
        <w:t>具体技术要求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800"/>
        <w:gridCol w:w="4580"/>
      </w:tblGrid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产品的详细描述内容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特殊说明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技术指标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导联数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单导</w:t>
            </w:r>
            <w:proofErr w:type="gramEnd"/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无导联线贴附式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无导联线贴附式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采样率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256Hz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动态输入范围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±5mV p-v（叠加± 300mV直流偏置电压）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输入阻抗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大于10M Ω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共模抑制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≥100dB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增益准确度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误差≤1％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频率响应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0.67～55Hz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计时准确性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30秒以内误差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功能指标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按键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开机、记录病人症状标记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数据传输方式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Micro SD读卡器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软件功能</w:t>
            </w: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用于上传、回放主机记录的数据和病人信息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用户基本信息编辑功能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具有用户基本信息编辑功能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心电图及结果存储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完整数据留档五年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具有数据传输功能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计算并显示每24小时心率趋势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具有计算并显示每24小时心率趋势（每5分钟内最低值，平均值，最高值）</w:t>
            </w: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心电图审核功能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能够在医疗机构的电脑上回放全部记录时段内的心电图波形</w:t>
            </w: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具有统计报告功能，能够自动生成统计报告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3.8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具有数据备份和报告打印功能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具有自动分析功能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满足YY 0885-2013《医用电器设备 第2部分：动态心电图系统安全和基本性能专用要求》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特殊功能</w:t>
            </w:r>
          </w:p>
        </w:tc>
      </w:tr>
      <w:tr w:rsidR="009C21EF" w:rsidRPr="00ED3802" w:rsidTr="009C21EF">
        <w:trPr>
          <w:trHeight w:val="28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心电信号连续有效记录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保证最长可达14天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各种配件／易损、易耗件等详细清单</w:t>
            </w:r>
          </w:p>
        </w:tc>
      </w:tr>
      <w:tr w:rsidR="009C21EF" w:rsidRPr="00ED3802" w:rsidTr="009C21EF">
        <w:trPr>
          <w:trHeight w:val="570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专业用计算机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CPU主频≥2.8G；硬盘容量≥1T；内存容量≥8G；显示器尺寸≥23寸；显示器分辨率≥1920*1080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spellStart"/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MicroSD</w:t>
            </w:r>
            <w:proofErr w:type="spellEnd"/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卡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≥</w:t>
            </w: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2GB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各种消耗材料／试剂等用品分类目录清单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电极片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ED3802"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纽扣电池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CR2032</w:t>
            </w:r>
          </w:p>
        </w:tc>
      </w:tr>
      <w:tr w:rsidR="009C21EF" w:rsidRPr="00592E9C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592E9C" w:rsidRDefault="009C21EF" w:rsidP="009C21E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92E9C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592E9C" w:rsidRDefault="009C21EF" w:rsidP="009C21E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592E9C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使用说明书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592E9C" w:rsidRDefault="009C21EF" w:rsidP="009C21E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1份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配件供应时间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≥5年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心电数据完整留档时间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5年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92E9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数据处理服务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5年</w:t>
            </w: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8.4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592E9C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免费</w:t>
            </w:r>
            <w:r w:rsidRPr="00592E9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提供全部患者耗材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C21EF" w:rsidRPr="00ED3802" w:rsidTr="009C21EF">
        <w:trPr>
          <w:trHeight w:val="405"/>
        </w:trPr>
        <w:tc>
          <w:tcPr>
            <w:tcW w:w="670" w:type="pct"/>
            <w:shd w:val="clear" w:color="auto" w:fill="auto"/>
            <w:vAlign w:val="center"/>
            <w:hideMark/>
          </w:tcPr>
          <w:p w:rsidR="009C21EF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保修期</w:t>
            </w:r>
            <w:proofErr w:type="gramStart"/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内软件</w:t>
            </w:r>
            <w:proofErr w:type="gramEnd"/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升级</w:t>
            </w:r>
          </w:p>
        </w:tc>
        <w:tc>
          <w:tcPr>
            <w:tcW w:w="2687" w:type="pct"/>
            <w:shd w:val="clear" w:color="auto" w:fill="auto"/>
            <w:vAlign w:val="center"/>
            <w:hideMark/>
          </w:tcPr>
          <w:p w:rsidR="009C21EF" w:rsidRPr="00ED3802" w:rsidRDefault="009C21EF" w:rsidP="009C21E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D380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免费升级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1EF"/>
    <w:rsid w:val="00017D7D"/>
    <w:rsid w:val="000E67DC"/>
    <w:rsid w:val="00111664"/>
    <w:rsid w:val="001243A7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DCE"/>
    <w:rsid w:val="007C0BC5"/>
    <w:rsid w:val="00861116"/>
    <w:rsid w:val="00863DE5"/>
    <w:rsid w:val="00883DE5"/>
    <w:rsid w:val="00930007"/>
    <w:rsid w:val="00955B2E"/>
    <w:rsid w:val="009C21EF"/>
    <w:rsid w:val="009D63B9"/>
    <w:rsid w:val="00A73EC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EF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Chinese ORG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2019-01-04T06:46:00Z</dcterms:created>
  <dcterms:modified xsi:type="dcterms:W3CDTF">2019-01-04T06:47:00Z</dcterms:modified>
</cp:coreProperties>
</file>