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47" w:rsidRPr="00C45FE6" w:rsidRDefault="00306947" w:rsidP="00306947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306947" w:rsidRPr="008E2C68" w:rsidRDefault="00306947" w:rsidP="00306947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306947" w:rsidTr="00306947">
        <w:trPr>
          <w:trHeight w:val="456"/>
          <w:jc w:val="center"/>
        </w:trPr>
        <w:tc>
          <w:tcPr>
            <w:tcW w:w="926" w:type="pct"/>
            <w:vAlign w:val="center"/>
          </w:tcPr>
          <w:p w:rsidR="00306947" w:rsidRDefault="00306947" w:rsidP="00EF2016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306947" w:rsidRDefault="00306947" w:rsidP="00EF2016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306947" w:rsidRDefault="00306947" w:rsidP="00EF2016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306947" w:rsidTr="00306947">
        <w:trPr>
          <w:trHeight w:val="822"/>
          <w:jc w:val="center"/>
        </w:trPr>
        <w:tc>
          <w:tcPr>
            <w:tcW w:w="926" w:type="pct"/>
            <w:vAlign w:val="center"/>
          </w:tcPr>
          <w:p w:rsidR="00306947" w:rsidRDefault="00306947" w:rsidP="00306947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306947" w:rsidRDefault="00306947" w:rsidP="00EF2016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386061">
              <w:rPr>
                <w:rFonts w:hint="eastAsia"/>
                <w:b/>
                <w:sz w:val="24"/>
              </w:rPr>
              <w:t>糖化血红蛋白仪</w:t>
            </w:r>
          </w:p>
        </w:tc>
        <w:tc>
          <w:tcPr>
            <w:tcW w:w="1207" w:type="pct"/>
            <w:vAlign w:val="center"/>
          </w:tcPr>
          <w:p w:rsidR="00306947" w:rsidRDefault="00306947" w:rsidP="00EF2016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306947" w:rsidRDefault="00306947" w:rsidP="00306947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306947" w:rsidRPr="008E2C68" w:rsidRDefault="00306947" w:rsidP="00306947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306947" w:rsidRDefault="00306947" w:rsidP="00306947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306947" w:rsidRDefault="00306947" w:rsidP="00306947">
      <w:pPr>
        <w:tabs>
          <w:tab w:val="left" w:pos="0"/>
        </w:tabs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标本：全血或者溶血样本；样本无需预处理</w:t>
      </w:r>
    </w:p>
    <w:p w:rsidR="00306947" w:rsidRDefault="00306947" w:rsidP="00306947">
      <w:pPr>
        <w:tabs>
          <w:tab w:val="left" w:pos="705"/>
        </w:tabs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主要检测项目：</w:t>
      </w:r>
      <w:r>
        <w:rPr>
          <w:rFonts w:hint="eastAsia"/>
          <w:sz w:val="24"/>
        </w:rPr>
        <w:t>HbA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4"/>
          </w:rPr>
          <w:t>1c</w:t>
        </w:r>
      </w:smartTag>
      <w:r>
        <w:rPr>
          <w:rFonts w:hint="eastAsia"/>
          <w:sz w:val="24"/>
        </w:rPr>
        <w:t>、</w:t>
      </w:r>
      <w:proofErr w:type="spellStart"/>
      <w:r>
        <w:rPr>
          <w:rFonts w:hint="eastAsia"/>
          <w:sz w:val="24"/>
        </w:rPr>
        <w:t>HbF</w:t>
      </w:r>
      <w:proofErr w:type="spellEnd"/>
    </w:p>
    <w:p w:rsidR="00306947" w:rsidRDefault="00306947" w:rsidP="00306947">
      <w:pPr>
        <w:tabs>
          <w:tab w:val="left" w:pos="0"/>
        </w:tabs>
        <w:spacing w:line="360" w:lineRule="auto"/>
        <w:jc w:val="left"/>
        <w:rPr>
          <w:sz w:val="24"/>
        </w:rPr>
      </w:pPr>
      <w:r>
        <w:rPr>
          <w:sz w:val="24"/>
        </w:rPr>
        <w:t>▲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检测原理：离子交换高效液相色谱法</w:t>
      </w:r>
    </w:p>
    <w:p w:rsidR="00306947" w:rsidRDefault="00306947" w:rsidP="00306947">
      <w:pPr>
        <w:tabs>
          <w:tab w:val="left" w:pos="0"/>
        </w:tabs>
        <w:spacing w:line="360" w:lineRule="auto"/>
        <w:jc w:val="left"/>
        <w:rPr>
          <w:sz w:val="24"/>
        </w:rPr>
      </w:pPr>
      <w:r>
        <w:rPr>
          <w:sz w:val="24"/>
        </w:rPr>
        <w:t>▲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、</w:t>
      </w:r>
      <w:r w:rsidRPr="00CC6AF1">
        <w:rPr>
          <w:rFonts w:hint="eastAsia"/>
          <w:sz w:val="24"/>
        </w:rPr>
        <w:t>检测速度</w:t>
      </w:r>
      <w:r>
        <w:rPr>
          <w:rFonts w:hint="eastAsia"/>
          <w:b/>
          <w:sz w:val="24"/>
        </w:rPr>
        <w:t>≤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秒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测试。</w:t>
      </w:r>
    </w:p>
    <w:p w:rsidR="00306947" w:rsidRDefault="00306947" w:rsidP="00306947">
      <w:pPr>
        <w:tabs>
          <w:tab w:val="left" w:pos="825"/>
        </w:tabs>
        <w:spacing w:line="360" w:lineRule="auto"/>
        <w:jc w:val="left"/>
        <w:rPr>
          <w:sz w:val="24"/>
        </w:rPr>
      </w:pPr>
      <w:r>
        <w:rPr>
          <w:sz w:val="24"/>
        </w:rPr>
        <w:t>▲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样本架容量数≥</w:t>
      </w:r>
      <w:r>
        <w:rPr>
          <w:rFonts w:hint="eastAsia"/>
          <w:sz w:val="24"/>
        </w:rPr>
        <w:t>100</w:t>
      </w:r>
      <w:r w:rsidRPr="00A25DB6">
        <w:rPr>
          <w:rFonts w:hint="eastAsia"/>
          <w:sz w:val="24"/>
        </w:rPr>
        <w:t>个</w:t>
      </w:r>
      <w:r>
        <w:rPr>
          <w:rFonts w:hint="eastAsia"/>
          <w:sz w:val="24"/>
        </w:rPr>
        <w:t>；</w:t>
      </w:r>
      <w:r w:rsidRPr="00A25DB6">
        <w:rPr>
          <w:rFonts w:hint="eastAsia"/>
          <w:sz w:val="24"/>
        </w:rPr>
        <w:t>通过</w:t>
      </w:r>
      <w:r>
        <w:rPr>
          <w:rFonts w:hint="eastAsia"/>
          <w:sz w:val="24"/>
        </w:rPr>
        <w:t>选配的</w:t>
      </w:r>
      <w:r w:rsidRPr="00A25DB6">
        <w:rPr>
          <w:rFonts w:hint="eastAsia"/>
          <w:sz w:val="24"/>
        </w:rPr>
        <w:t>样本扩展器，最</w:t>
      </w:r>
      <w:r>
        <w:rPr>
          <w:rFonts w:hint="eastAsia"/>
          <w:sz w:val="24"/>
        </w:rPr>
        <w:t>多</w:t>
      </w:r>
      <w:proofErr w:type="gramStart"/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次上样</w:t>
      </w:r>
      <w:proofErr w:type="gramEnd"/>
      <w:r>
        <w:rPr>
          <w:rFonts w:hint="eastAsia"/>
          <w:sz w:val="24"/>
        </w:rPr>
        <w:t>≥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个。</w:t>
      </w:r>
    </w:p>
    <w:p w:rsidR="00306947" w:rsidRPr="006514DB" w:rsidRDefault="00306947" w:rsidP="00306947">
      <w:pPr>
        <w:tabs>
          <w:tab w:val="left" w:pos="825"/>
        </w:tabs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检测范围：</w:t>
      </w:r>
      <w:r w:rsidRPr="003A421E">
        <w:rPr>
          <w:rFonts w:hint="eastAsia"/>
          <w:bCs/>
          <w:sz w:val="24"/>
        </w:rPr>
        <w:t>HbA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3A421E">
          <w:rPr>
            <w:rFonts w:hint="eastAsia"/>
            <w:bCs/>
            <w:sz w:val="24"/>
          </w:rPr>
          <w:t>1c</w:t>
        </w:r>
      </w:smartTag>
      <w:r w:rsidRPr="003A421E">
        <w:rPr>
          <w:rFonts w:hint="eastAsia"/>
          <w:bCs/>
          <w:sz w:val="24"/>
        </w:rPr>
        <w:t>: 3-20%</w:t>
      </w:r>
      <w:r w:rsidRPr="003A421E">
        <w:rPr>
          <w:rFonts w:hint="eastAsia"/>
          <w:bCs/>
          <w:sz w:val="24"/>
        </w:rPr>
        <w:t>（</w:t>
      </w:r>
      <w:r w:rsidRPr="003A421E">
        <w:rPr>
          <w:rFonts w:hint="eastAsia"/>
          <w:bCs/>
          <w:sz w:val="24"/>
        </w:rPr>
        <w:t>NGSP</w:t>
      </w:r>
      <w:r w:rsidRPr="003A421E">
        <w:rPr>
          <w:rFonts w:hint="eastAsia"/>
          <w:bCs/>
          <w:sz w:val="24"/>
        </w:rPr>
        <w:t>单位）</w:t>
      </w:r>
      <w:r w:rsidRPr="003A421E">
        <w:rPr>
          <w:rFonts w:hint="eastAsia"/>
          <w:bCs/>
          <w:sz w:val="24"/>
        </w:rPr>
        <w:t xml:space="preserve">, 14-191 </w:t>
      </w:r>
      <w:proofErr w:type="spellStart"/>
      <w:r w:rsidRPr="003A421E">
        <w:rPr>
          <w:rFonts w:hint="eastAsia"/>
          <w:bCs/>
          <w:sz w:val="24"/>
        </w:rPr>
        <w:t>mmol</w:t>
      </w:r>
      <w:proofErr w:type="spellEnd"/>
      <w:r w:rsidRPr="003A421E">
        <w:rPr>
          <w:rFonts w:hint="eastAsia"/>
          <w:bCs/>
          <w:sz w:val="24"/>
        </w:rPr>
        <w:t>/mol(IFCC</w:t>
      </w:r>
      <w:r w:rsidRPr="003A421E">
        <w:rPr>
          <w:rFonts w:hint="eastAsia"/>
          <w:bCs/>
          <w:sz w:val="24"/>
        </w:rPr>
        <w:t>单位</w:t>
      </w:r>
      <w:r w:rsidRPr="003A421E">
        <w:rPr>
          <w:rFonts w:hint="eastAsia"/>
          <w:bCs/>
          <w:sz w:val="24"/>
        </w:rPr>
        <w:t>)</w:t>
      </w:r>
      <w:r w:rsidRPr="003A421E">
        <w:rPr>
          <w:rFonts w:hint="eastAsia"/>
          <w:bCs/>
          <w:sz w:val="24"/>
        </w:rPr>
        <w:t>；</w:t>
      </w:r>
      <w:r w:rsidRPr="003A421E">
        <w:rPr>
          <w:rFonts w:hint="eastAsia"/>
          <w:bCs/>
          <w:sz w:val="24"/>
        </w:rPr>
        <w:t xml:space="preserve"> </w:t>
      </w:r>
      <w:proofErr w:type="spellStart"/>
      <w:r w:rsidRPr="003A421E">
        <w:rPr>
          <w:rFonts w:hint="eastAsia"/>
          <w:bCs/>
          <w:sz w:val="24"/>
        </w:rPr>
        <w:t>HbF</w:t>
      </w:r>
      <w:proofErr w:type="spellEnd"/>
      <w:r w:rsidRPr="003A421E">
        <w:rPr>
          <w:rFonts w:hint="eastAsia"/>
          <w:bCs/>
          <w:sz w:val="24"/>
        </w:rPr>
        <w:t>: 0.3-5%</w:t>
      </w:r>
    </w:p>
    <w:p w:rsidR="00306947" w:rsidRDefault="00306947" w:rsidP="00306947">
      <w:pPr>
        <w:tabs>
          <w:tab w:val="left" w:pos="825"/>
        </w:tabs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带有急诊槽；可临时插入急需处理的样本</w:t>
      </w:r>
    </w:p>
    <w:p w:rsidR="00306947" w:rsidRDefault="00306947" w:rsidP="00306947">
      <w:pPr>
        <w:tabs>
          <w:tab w:val="left" w:pos="825"/>
        </w:tabs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同时报告</w:t>
      </w:r>
      <w:r>
        <w:rPr>
          <w:rFonts w:hint="eastAsia"/>
          <w:sz w:val="24"/>
        </w:rPr>
        <w:t xml:space="preserve">IFCC 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 NGSP</w:t>
      </w:r>
      <w:r>
        <w:rPr>
          <w:rFonts w:hint="eastAsia"/>
          <w:sz w:val="24"/>
        </w:rPr>
        <w:t>结果</w:t>
      </w:r>
    </w:p>
    <w:p w:rsidR="00306947" w:rsidRDefault="00306947" w:rsidP="00306947">
      <w:pPr>
        <w:tabs>
          <w:tab w:val="left" w:pos="825"/>
        </w:tabs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层析柱经久耐用、更换简单，每根层析</w:t>
      </w:r>
      <w:proofErr w:type="gramStart"/>
      <w:r>
        <w:rPr>
          <w:rFonts w:hint="eastAsia"/>
          <w:sz w:val="24"/>
        </w:rPr>
        <w:t>柱使用</w:t>
      </w:r>
      <w:proofErr w:type="gramEnd"/>
      <w:r>
        <w:rPr>
          <w:rFonts w:hint="eastAsia"/>
          <w:sz w:val="24"/>
        </w:rPr>
        <w:t>次数</w:t>
      </w:r>
      <w:r>
        <w:rPr>
          <w:rFonts w:ascii="宋体" w:hAnsi="宋体" w:hint="eastAsia"/>
          <w:sz w:val="24"/>
        </w:rPr>
        <w:t>≥</w:t>
      </w:r>
      <w:r>
        <w:rPr>
          <w:rFonts w:hint="eastAsia"/>
          <w:sz w:val="24"/>
        </w:rPr>
        <w:t>6000</w:t>
      </w:r>
      <w:r>
        <w:rPr>
          <w:rFonts w:hint="eastAsia"/>
          <w:sz w:val="24"/>
        </w:rPr>
        <w:t>次（需由生产厂家出具证明）。</w:t>
      </w:r>
    </w:p>
    <w:p w:rsidR="00306947" w:rsidRDefault="00306947" w:rsidP="00306947">
      <w:pPr>
        <w:tabs>
          <w:tab w:val="left" w:pos="825"/>
        </w:tabs>
        <w:spacing w:line="360" w:lineRule="auto"/>
        <w:jc w:val="left"/>
        <w:rPr>
          <w:sz w:val="24"/>
        </w:rPr>
      </w:pPr>
      <w:r>
        <w:rPr>
          <w:sz w:val="24"/>
        </w:rPr>
        <w:t>▲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层析柱与过滤膜一体化，无需单独更换过滤膜。</w:t>
      </w:r>
    </w:p>
    <w:p w:rsidR="00306947" w:rsidRDefault="00306947" w:rsidP="00306947">
      <w:pPr>
        <w:tabs>
          <w:tab w:val="left" w:pos="825"/>
        </w:tabs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11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CV</w:t>
      </w:r>
      <w:r>
        <w:rPr>
          <w:rFonts w:hint="eastAsia"/>
          <w:sz w:val="24"/>
        </w:rPr>
        <w:t>值</w:t>
      </w:r>
      <w:r>
        <w:rPr>
          <w:rFonts w:hint="eastAsia"/>
          <w:b/>
          <w:sz w:val="24"/>
        </w:rPr>
        <w:t>≤</w:t>
      </w:r>
      <w:r>
        <w:rPr>
          <w:rFonts w:hint="eastAsia"/>
          <w:sz w:val="24"/>
        </w:rPr>
        <w:t>2%</w:t>
      </w:r>
    </w:p>
    <w:p w:rsidR="00306947" w:rsidRDefault="00306947" w:rsidP="00306947">
      <w:pPr>
        <w:tabs>
          <w:tab w:val="left" w:pos="825"/>
        </w:tabs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12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内置打印机，可自动打印出数据，带有输出端口，能联入医院内部系统（</w:t>
      </w:r>
      <w:r>
        <w:rPr>
          <w:rFonts w:hint="eastAsia"/>
          <w:sz w:val="24"/>
        </w:rPr>
        <w:t>LIS/HIS</w:t>
      </w:r>
      <w:r>
        <w:rPr>
          <w:rFonts w:hint="eastAsia"/>
          <w:sz w:val="24"/>
        </w:rPr>
        <w:t>）</w:t>
      </w:r>
    </w:p>
    <w:p w:rsidR="00306947" w:rsidRDefault="00306947" w:rsidP="00306947">
      <w:pPr>
        <w:tabs>
          <w:tab w:val="left" w:pos="825"/>
        </w:tabs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13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有样本混匀功能</w:t>
      </w:r>
    </w:p>
    <w:p w:rsidR="00306947" w:rsidRDefault="00306947" w:rsidP="00306947">
      <w:pPr>
        <w:tabs>
          <w:tab w:val="left" w:pos="825"/>
        </w:tabs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14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能有效防止氨基甲酰化血红蛋白对测定结果的干扰</w:t>
      </w:r>
    </w:p>
    <w:p w:rsidR="00306947" w:rsidRDefault="00306947" w:rsidP="00306947">
      <w:pPr>
        <w:tabs>
          <w:tab w:val="left" w:pos="825"/>
        </w:tabs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15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设备获得</w:t>
      </w:r>
      <w:r>
        <w:rPr>
          <w:rFonts w:hint="eastAsia"/>
          <w:sz w:val="24"/>
        </w:rPr>
        <w:t>NGSP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IFCC</w:t>
      </w:r>
      <w:r>
        <w:rPr>
          <w:rFonts w:hint="eastAsia"/>
          <w:sz w:val="24"/>
        </w:rPr>
        <w:t>认证</w:t>
      </w:r>
    </w:p>
    <w:p w:rsidR="00306947" w:rsidRPr="003914CD" w:rsidRDefault="00306947" w:rsidP="00306947">
      <w:pPr>
        <w:tabs>
          <w:tab w:val="left" w:pos="825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16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仪器带大彩色液晶屏幕，能显示剩余试剂量、色谱图等。</w:t>
      </w:r>
    </w:p>
    <w:p w:rsidR="00306947" w:rsidRDefault="00306947" w:rsidP="00306947">
      <w:pPr>
        <w:tabs>
          <w:tab w:val="left" w:pos="825"/>
        </w:tabs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17</w:t>
      </w:r>
      <w:r>
        <w:rPr>
          <w:rFonts w:hint="eastAsia"/>
          <w:b/>
          <w:sz w:val="24"/>
        </w:rPr>
        <w:t>、</w:t>
      </w:r>
      <w:r>
        <w:rPr>
          <w:rFonts w:hint="eastAsia"/>
          <w:sz w:val="24"/>
        </w:rPr>
        <w:t>能对样本进行特定的编号；对急诊样本也能进行特定的编号。</w:t>
      </w:r>
    </w:p>
    <w:p w:rsidR="00306947" w:rsidRPr="00694F8A" w:rsidRDefault="00306947" w:rsidP="00306947">
      <w:pPr>
        <w:tabs>
          <w:tab w:val="left" w:pos="825"/>
        </w:tabs>
        <w:spacing w:line="360" w:lineRule="auto"/>
        <w:jc w:val="left"/>
        <w:rPr>
          <w:sz w:val="24"/>
        </w:rPr>
      </w:pPr>
      <w:r w:rsidRPr="00386061">
        <w:rPr>
          <w:rFonts w:hint="eastAsia"/>
          <w:b/>
          <w:sz w:val="24"/>
        </w:rPr>
        <w:lastRenderedPageBreak/>
        <w:t>18</w:t>
      </w:r>
      <w:r w:rsidRPr="00694F8A">
        <w:rPr>
          <w:rFonts w:hint="eastAsia"/>
          <w:sz w:val="24"/>
        </w:rPr>
        <w:t>、必须附合</w:t>
      </w:r>
      <w:r w:rsidRPr="00694F8A">
        <w:rPr>
          <w:sz w:val="24"/>
        </w:rPr>
        <w:t xml:space="preserve">CAP </w:t>
      </w:r>
      <w:r w:rsidRPr="00694F8A">
        <w:rPr>
          <w:rFonts w:hint="eastAsia"/>
          <w:sz w:val="24"/>
        </w:rPr>
        <w:t>性能验证要求及免费提供所有</w:t>
      </w:r>
      <w:r w:rsidRPr="00694F8A">
        <w:rPr>
          <w:sz w:val="24"/>
        </w:rPr>
        <w:t>CAP</w:t>
      </w:r>
      <w:r w:rsidRPr="00694F8A">
        <w:rPr>
          <w:rFonts w:hint="eastAsia"/>
          <w:sz w:val="24"/>
        </w:rPr>
        <w:t>性能验证使用试剂耗材</w:t>
      </w:r>
    </w:p>
    <w:p w:rsidR="00306947" w:rsidRDefault="00306947" w:rsidP="00306947">
      <w:pPr>
        <w:tabs>
          <w:tab w:val="left" w:pos="825"/>
        </w:tabs>
        <w:spacing w:line="360" w:lineRule="auto"/>
        <w:jc w:val="left"/>
        <w:rPr>
          <w:rFonts w:eastAsia="新細明體"/>
          <w:sz w:val="24"/>
          <w:lang w:eastAsia="zh-HK"/>
        </w:rPr>
      </w:pPr>
      <w:r w:rsidRPr="00386061">
        <w:rPr>
          <w:rFonts w:eastAsia="新細明體" w:hint="eastAsia"/>
          <w:b/>
          <w:sz w:val="24"/>
          <w:lang w:eastAsia="zh-HK"/>
        </w:rPr>
        <w:t>19</w:t>
      </w:r>
      <w:r w:rsidRPr="00694F8A">
        <w:rPr>
          <w:rFonts w:hint="eastAsia"/>
          <w:sz w:val="24"/>
        </w:rPr>
        <w:t>、配备打印机</w:t>
      </w:r>
    </w:p>
    <w:p w:rsidR="00306947" w:rsidRDefault="00306947" w:rsidP="00306947">
      <w:pPr>
        <w:tabs>
          <w:tab w:val="left" w:pos="825"/>
        </w:tabs>
        <w:spacing w:line="360" w:lineRule="auto"/>
        <w:jc w:val="left"/>
        <w:rPr>
          <w:sz w:val="24"/>
        </w:rPr>
      </w:pPr>
      <w:r w:rsidRPr="002D39C2">
        <w:rPr>
          <w:b/>
          <w:sz w:val="24"/>
        </w:rPr>
        <w:t>20</w:t>
      </w:r>
      <w:r w:rsidRPr="002D39C2">
        <w:rPr>
          <w:rFonts w:hint="eastAsia"/>
          <w:b/>
          <w:sz w:val="24"/>
        </w:rPr>
        <w:t>、</w:t>
      </w:r>
      <w:r w:rsidRPr="00664340">
        <w:rPr>
          <w:rFonts w:hint="eastAsia"/>
          <w:sz w:val="24"/>
        </w:rPr>
        <w:t>能把分析图</w:t>
      </w:r>
      <w:r w:rsidRPr="00664340">
        <w:rPr>
          <w:rFonts w:ascii="新細明體" w:cs="新細明體" w:hint="eastAsia"/>
          <w:sz w:val="24"/>
        </w:rPr>
        <w:t>谱</w:t>
      </w:r>
      <w:r w:rsidRPr="00664340">
        <w:rPr>
          <w:rFonts w:hint="eastAsia"/>
          <w:sz w:val="24"/>
        </w:rPr>
        <w:t>上传到</w:t>
      </w:r>
      <w:r w:rsidRPr="00664340">
        <w:rPr>
          <w:sz w:val="24"/>
        </w:rPr>
        <w:t>LIS</w:t>
      </w:r>
    </w:p>
    <w:p w:rsidR="00306947" w:rsidRPr="002D39C2" w:rsidRDefault="00306947" w:rsidP="00306947">
      <w:pPr>
        <w:tabs>
          <w:tab w:val="left" w:pos="825"/>
        </w:tabs>
        <w:spacing w:line="360" w:lineRule="auto"/>
        <w:jc w:val="left"/>
        <w:rPr>
          <w:sz w:val="24"/>
        </w:rPr>
      </w:pPr>
      <w:r w:rsidRPr="002D39C2">
        <w:rPr>
          <w:rFonts w:hint="eastAsia"/>
          <w:b/>
          <w:sz w:val="24"/>
        </w:rPr>
        <w:t>21</w:t>
      </w:r>
      <w:r w:rsidRPr="002D39C2">
        <w:rPr>
          <w:rFonts w:hint="eastAsia"/>
          <w:b/>
          <w:sz w:val="24"/>
        </w:rPr>
        <w:t>、</w:t>
      </w:r>
      <w:r w:rsidRPr="002D39C2">
        <w:rPr>
          <w:rFonts w:hint="eastAsia"/>
          <w:sz w:val="24"/>
        </w:rPr>
        <w:t>每人份耗材成本不高于</w:t>
      </w:r>
      <w:r w:rsidRPr="002D39C2">
        <w:rPr>
          <w:rFonts w:hint="eastAsia"/>
          <w:sz w:val="24"/>
        </w:rPr>
        <w:t>25</w:t>
      </w:r>
      <w:r w:rsidRPr="002D39C2">
        <w:rPr>
          <w:rFonts w:hint="eastAsia"/>
          <w:sz w:val="24"/>
        </w:rPr>
        <w:t>元</w:t>
      </w:r>
    </w:p>
    <w:p w:rsidR="00C466E9" w:rsidRPr="00306947" w:rsidRDefault="00C466E9"/>
    <w:sectPr w:rsidR="00C466E9" w:rsidRPr="00306947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7" w:rsidRDefault="00306947" w:rsidP="00306947">
      <w:r>
        <w:separator/>
      </w:r>
    </w:p>
  </w:endnote>
  <w:endnote w:type="continuationSeparator" w:id="0">
    <w:p w:rsidR="00306947" w:rsidRDefault="00306947" w:rsidP="0030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7" w:rsidRDefault="00306947" w:rsidP="00306947">
      <w:r>
        <w:separator/>
      </w:r>
    </w:p>
  </w:footnote>
  <w:footnote w:type="continuationSeparator" w:id="0">
    <w:p w:rsidR="00306947" w:rsidRDefault="00306947" w:rsidP="00306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947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30694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32D50"/>
    <w:rsid w:val="00A8315A"/>
    <w:rsid w:val="00AC3543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47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306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06947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06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0694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>Chinese ORG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2019-07-02T03:03:00Z</dcterms:created>
  <dcterms:modified xsi:type="dcterms:W3CDTF">2019-07-02T03:03:00Z</dcterms:modified>
</cp:coreProperties>
</file>