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F6" w:rsidRPr="00C45FE6" w:rsidRDefault="007B1BF6" w:rsidP="007B1BF6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B1BF6" w:rsidRPr="008E2C68" w:rsidRDefault="007B1BF6" w:rsidP="007B1BF6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7B1BF6" w:rsidTr="007B1BF6">
        <w:trPr>
          <w:trHeight w:val="456"/>
          <w:jc w:val="center"/>
        </w:trPr>
        <w:tc>
          <w:tcPr>
            <w:tcW w:w="926" w:type="pct"/>
            <w:vAlign w:val="center"/>
          </w:tcPr>
          <w:p w:rsidR="007B1BF6" w:rsidRDefault="007B1BF6" w:rsidP="00482345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7B1BF6" w:rsidRDefault="007B1BF6" w:rsidP="0048234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7B1BF6" w:rsidRDefault="007B1BF6" w:rsidP="0048234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B1BF6" w:rsidTr="007B1BF6">
        <w:trPr>
          <w:trHeight w:val="822"/>
          <w:jc w:val="center"/>
        </w:trPr>
        <w:tc>
          <w:tcPr>
            <w:tcW w:w="926" w:type="pct"/>
            <w:vAlign w:val="center"/>
          </w:tcPr>
          <w:p w:rsidR="007B1BF6" w:rsidRDefault="007B1BF6" w:rsidP="007B1BF6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7B1BF6" w:rsidRDefault="007B1BF6" w:rsidP="00482345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B5B1D">
              <w:rPr>
                <w:rFonts w:hint="eastAsia"/>
                <w:b/>
                <w:sz w:val="24"/>
              </w:rPr>
              <w:t>空气波压力治疗仪</w:t>
            </w:r>
          </w:p>
        </w:tc>
        <w:tc>
          <w:tcPr>
            <w:tcW w:w="1207" w:type="pct"/>
            <w:vAlign w:val="center"/>
          </w:tcPr>
          <w:p w:rsidR="007B1BF6" w:rsidRDefault="007B1BF6" w:rsidP="00482345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4套</w:t>
            </w:r>
          </w:p>
        </w:tc>
      </w:tr>
    </w:tbl>
    <w:p w:rsidR="007B1BF6" w:rsidRDefault="007B1BF6" w:rsidP="007B1BF6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B1BF6" w:rsidRPr="008E2C68" w:rsidRDefault="007B1BF6" w:rsidP="007B1BF6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B1BF6" w:rsidRDefault="007B1BF6" w:rsidP="007B1BF6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1.轻巧便携，方便移动，可选配专用可折叠床头挂架或台车；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2.▲高亮度LED数码显示，工作模式、设置压力和治疗时间一目了然，简单明晰；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3.时间范围：5-99min连续可调；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4.压力范围：1-26kPa或8-195mmHg连续可调；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5.▲可选择</w:t>
      </w:r>
      <w:proofErr w:type="spellStart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kPa</w:t>
      </w:r>
      <w:proofErr w:type="spellEnd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与mmHg两种计量单位；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6.▲一台机器既可适配六腔气囊又可适配三腔气囊，10种工作模式；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7.气囊层叠设计，治疗效果好，隐藏式加宽</w:t>
      </w:r>
      <w:proofErr w:type="gramStart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条适应</w:t>
      </w:r>
      <w:proofErr w:type="gramEnd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范围广</w:t>
      </w:r>
      <w:bookmarkStart w:id="0" w:name="_GoBack"/>
      <w:bookmarkEnd w:id="0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8.可同时连接2个充气气囊给2个肢体做气压治疗，也可只连接1个气囊做单个肢体的治疗；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9.特殊减震装置，噪音低；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10.▲遥控紧急停止安全按钮，确保病人安全；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11.可配双下肢气囊也可配上、下肢气囊，满足大众患者需求；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12.肢体套筒均为圆周压力设计，为医用级TPU材料；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13.</w:t>
      </w:r>
      <w:proofErr w:type="gramStart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标配一分一</w:t>
      </w:r>
      <w:proofErr w:type="gramEnd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和一分二型充气导管，满足不同客户使用需求。</w:t>
      </w:r>
    </w:p>
    <w:p w:rsidR="007B1BF6" w:rsidRPr="00AB29E1" w:rsidRDefault="007B1BF6" w:rsidP="007B1BF6">
      <w:pPr>
        <w:spacing w:line="276" w:lineRule="auto"/>
        <w:rPr>
          <w:rFonts w:asciiTheme="minorEastAsia" w:hAnsiTheme="minorEastAsia" w:cs="宋体"/>
          <w:color w:val="0D0D0D"/>
          <w:kern w:val="0"/>
          <w:sz w:val="24"/>
        </w:rPr>
      </w:pPr>
      <w:r>
        <w:rPr>
          <w:rFonts w:asciiTheme="minorEastAsia" w:hAnsiTheme="minorEastAsia" w:cs="宋体" w:hint="eastAsia"/>
          <w:color w:val="0D0D0D"/>
          <w:kern w:val="0"/>
          <w:sz w:val="24"/>
        </w:rPr>
        <w:t>14.</w:t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主要配置清单：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主机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台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电源线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根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保险管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个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合格证/保修卡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份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红外遥控器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个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使用说明书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份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一分</w:t>
      </w:r>
      <w:proofErr w:type="gramStart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一</w:t>
      </w:r>
      <w:proofErr w:type="gramEnd"/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充气管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根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一分二充气管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根</w:t>
      </w:r>
    </w:p>
    <w:p w:rsidR="007B1BF6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下肢气囊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个</w:t>
      </w:r>
    </w:p>
    <w:p w:rsidR="007B1BF6" w:rsidRPr="00AB29E1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>
        <w:rPr>
          <w:rFonts w:asciiTheme="minorEastAsia" w:hAnsiTheme="minorEastAsia" w:cs="宋体" w:hint="eastAsia"/>
          <w:color w:val="0D0D0D"/>
          <w:kern w:val="0"/>
          <w:sz w:val="24"/>
        </w:rPr>
        <w:t>上</w:t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肢气囊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个</w:t>
      </w:r>
    </w:p>
    <w:p w:rsidR="00C466E9" w:rsidRPr="007B1BF6" w:rsidRDefault="007B1BF6" w:rsidP="007B1BF6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color w:val="0D0D0D"/>
          <w:kern w:val="0"/>
          <w:sz w:val="24"/>
        </w:rPr>
      </w:pP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专用台车（含储物篮）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ab/>
      </w:r>
      <w:r w:rsidRPr="00AB29E1">
        <w:rPr>
          <w:rFonts w:asciiTheme="minorEastAsia" w:hAnsiTheme="minorEastAsia" w:cs="宋体" w:hint="eastAsia"/>
          <w:color w:val="0D0D0D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0D0D0D"/>
          <w:kern w:val="0"/>
          <w:sz w:val="24"/>
        </w:rPr>
        <w:t>台</w:t>
      </w:r>
    </w:p>
    <w:sectPr w:rsidR="00C466E9" w:rsidRPr="007B1BF6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F6" w:rsidRDefault="007B1BF6" w:rsidP="007B1BF6">
      <w:r>
        <w:separator/>
      </w:r>
    </w:p>
  </w:endnote>
  <w:endnote w:type="continuationSeparator" w:id="0">
    <w:p w:rsidR="007B1BF6" w:rsidRDefault="007B1BF6" w:rsidP="007B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F6" w:rsidRDefault="007B1BF6" w:rsidP="007B1BF6">
      <w:r>
        <w:separator/>
      </w:r>
    </w:p>
  </w:footnote>
  <w:footnote w:type="continuationSeparator" w:id="0">
    <w:p w:rsidR="007B1BF6" w:rsidRDefault="007B1BF6" w:rsidP="007B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789"/>
    <w:multiLevelType w:val="hybridMultilevel"/>
    <w:tmpl w:val="61A201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BF6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36343"/>
    <w:rsid w:val="006608B9"/>
    <w:rsid w:val="006F341D"/>
    <w:rsid w:val="00730798"/>
    <w:rsid w:val="00745433"/>
    <w:rsid w:val="007B1BF6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F6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7B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1BF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1BF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Chinese 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2019-07-02T03:16:00Z</dcterms:created>
  <dcterms:modified xsi:type="dcterms:W3CDTF">2019-07-02T03:17:00Z</dcterms:modified>
</cp:coreProperties>
</file>