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61" w:rsidRPr="00C45FE6" w:rsidRDefault="00424361" w:rsidP="0042436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424361" w:rsidRPr="008E2C68" w:rsidRDefault="00424361" w:rsidP="0042436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424361" w:rsidTr="00424361">
        <w:trPr>
          <w:trHeight w:val="456"/>
          <w:jc w:val="center"/>
        </w:trPr>
        <w:tc>
          <w:tcPr>
            <w:tcW w:w="926" w:type="pct"/>
            <w:vAlign w:val="center"/>
          </w:tcPr>
          <w:p w:rsidR="00424361" w:rsidRDefault="00424361" w:rsidP="001E654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424361" w:rsidRDefault="00424361" w:rsidP="001E654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424361" w:rsidRDefault="00424361" w:rsidP="001E654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424361" w:rsidTr="00424361">
        <w:trPr>
          <w:trHeight w:val="822"/>
          <w:jc w:val="center"/>
        </w:trPr>
        <w:tc>
          <w:tcPr>
            <w:tcW w:w="926" w:type="pct"/>
            <w:vAlign w:val="center"/>
          </w:tcPr>
          <w:p w:rsidR="00424361" w:rsidRDefault="00424361" w:rsidP="00424361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424361" w:rsidRDefault="00424361" w:rsidP="001E6543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多普勒血流探测仪</w:t>
            </w:r>
          </w:p>
        </w:tc>
        <w:tc>
          <w:tcPr>
            <w:tcW w:w="1207" w:type="pct"/>
            <w:vAlign w:val="center"/>
          </w:tcPr>
          <w:p w:rsidR="00424361" w:rsidRDefault="00424361" w:rsidP="001E6543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424361" w:rsidRDefault="00424361" w:rsidP="0042436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424361" w:rsidRPr="008E2C68" w:rsidRDefault="00424361" w:rsidP="0042436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424361" w:rsidRDefault="00424361" w:rsidP="0042436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>
        <w:rPr>
          <w:rFonts w:cs="Times New Roman" w:hint="eastAsia"/>
          <w:kern w:val="2"/>
        </w:rPr>
        <w:t>（</w:t>
      </w:r>
      <w:r w:rsidRPr="00093C98">
        <w:rPr>
          <w:rFonts w:cs="Times New Roman"/>
          <w:kern w:val="2"/>
        </w:rPr>
        <w:t>一</w:t>
      </w:r>
      <w:r>
        <w:rPr>
          <w:rFonts w:cs="Times New Roman" w:hint="eastAsia"/>
          <w:kern w:val="2"/>
        </w:rPr>
        <w:t>）</w:t>
      </w:r>
      <w:r w:rsidRPr="00093C98">
        <w:rPr>
          <w:rFonts w:cs="Times New Roman"/>
          <w:kern w:val="2"/>
        </w:rPr>
        <w:t>、主机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1.LCD大屏幕实时切换显示双方向波形与8项监测数值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2. 主机可储存30组波形和测量数据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3. 独特的探头冻结键可即时读取测量中的波形及监测数据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4. 能够分别对动脉、静脉的血管状况进行检查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>
        <w:rPr>
          <w:rFonts w:cs="Times New Roman" w:hint="eastAsia"/>
          <w:kern w:val="2"/>
        </w:rPr>
        <w:t>（</w:t>
      </w:r>
      <w:r w:rsidRPr="00093C98">
        <w:rPr>
          <w:rFonts w:cs="Times New Roman"/>
          <w:kern w:val="2"/>
        </w:rPr>
        <w:t>二</w:t>
      </w:r>
      <w:r>
        <w:rPr>
          <w:rFonts w:cs="Times New Roman" w:hint="eastAsia"/>
          <w:kern w:val="2"/>
        </w:rPr>
        <w:t>）</w:t>
      </w:r>
      <w:r w:rsidRPr="00093C98">
        <w:rPr>
          <w:rFonts w:cs="Times New Roman"/>
          <w:kern w:val="2"/>
        </w:rPr>
        <w:t>、应用范围：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1.外周血管检查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2.末梢血管研究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3.分段收缩压的测定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4.动脉功能检查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5.可记录血压，ABI、TBI数值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6.可用于以下临床检查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7.上下肢体的动脉狭窄、动脉硬化、动脉血栓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8.血管吻合术前、术后检查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t>9.皮瓣移植前后血管检查</w:t>
      </w:r>
    </w:p>
    <w:p w:rsidR="00424361" w:rsidRPr="00093C98" w:rsidRDefault="00424361" w:rsidP="00424361">
      <w:pPr>
        <w:pStyle w:val="a7"/>
        <w:rPr>
          <w:rFonts w:cs="Times New Roman"/>
          <w:kern w:val="2"/>
        </w:rPr>
      </w:pPr>
      <w:r w:rsidRPr="00093C98">
        <w:rPr>
          <w:rFonts w:cs="Times New Roman"/>
          <w:kern w:val="2"/>
        </w:rPr>
        <w:lastRenderedPageBreak/>
        <w:t>10.静脉瓣膜功能不全</w:t>
      </w:r>
    </w:p>
    <w:p w:rsidR="00424361" w:rsidRDefault="00424361" w:rsidP="00424361">
      <w:pPr>
        <w:pStyle w:val="a7"/>
        <w:spacing w:line="276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（三）</w:t>
      </w:r>
      <w:r w:rsidRPr="00093C98">
        <w:rPr>
          <w:rFonts w:cs="Times New Roman"/>
          <w:kern w:val="2"/>
        </w:rPr>
        <w:t>配置清单</w:t>
      </w: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5129"/>
        <w:gridCol w:w="1448"/>
      </w:tblGrid>
      <w:tr w:rsidR="00424361" w:rsidRPr="00CD7722" w:rsidTr="001E6543">
        <w:trPr>
          <w:trHeight w:val="385"/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66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配置名称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424361" w:rsidRPr="00CD7722" w:rsidTr="001E6543">
        <w:trPr>
          <w:trHeight w:val="385"/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6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93C98">
              <w:rPr>
                <w:rFonts w:ascii="宋体" w:hAnsi="宋体" w:hint="eastAsia"/>
                <w:sz w:val="24"/>
              </w:rPr>
              <w:t>多普勒血流仪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424361" w:rsidRPr="00CD7722" w:rsidTr="001E6543">
        <w:trPr>
          <w:trHeight w:val="375"/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66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93C98">
              <w:rPr>
                <w:rFonts w:ascii="宋体" w:hAnsi="宋体" w:hint="eastAsia"/>
                <w:sz w:val="24"/>
              </w:rPr>
              <w:t>探头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CD7722"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424361" w:rsidRPr="00CD7722" w:rsidTr="001E6543">
        <w:trPr>
          <w:trHeight w:val="395"/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66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93C98">
              <w:rPr>
                <w:rFonts w:ascii="宋体" w:hAnsi="宋体" w:hint="eastAsia"/>
                <w:sz w:val="24"/>
              </w:rPr>
              <w:t>耦合剂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</w:tc>
      </w:tr>
      <w:tr w:rsidR="00424361" w:rsidRPr="00CD7722" w:rsidTr="001E6543">
        <w:trPr>
          <w:trHeight w:val="395"/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66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93C98">
              <w:rPr>
                <w:rFonts w:ascii="宋体" w:hAnsi="宋体" w:hint="eastAsia"/>
                <w:sz w:val="24"/>
              </w:rPr>
              <w:t>说明书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24361" w:rsidRPr="00CD7722" w:rsidRDefault="00424361" w:rsidP="001E65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722">
              <w:rPr>
                <w:rFonts w:ascii="宋体" w:hAnsi="宋体" w:hint="eastAsia"/>
                <w:sz w:val="24"/>
              </w:rPr>
              <w:t>1本</w:t>
            </w: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61" w:rsidRDefault="00424361" w:rsidP="00424361">
      <w:r>
        <w:separator/>
      </w:r>
    </w:p>
  </w:endnote>
  <w:endnote w:type="continuationSeparator" w:id="0">
    <w:p w:rsidR="00424361" w:rsidRDefault="00424361" w:rsidP="0042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61" w:rsidRDefault="00424361" w:rsidP="00424361">
      <w:r>
        <w:separator/>
      </w:r>
    </w:p>
  </w:footnote>
  <w:footnote w:type="continuationSeparator" w:id="0">
    <w:p w:rsidR="00424361" w:rsidRDefault="00424361" w:rsidP="00424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61"/>
    <w:rsid w:val="00017D7D"/>
    <w:rsid w:val="000E67DC"/>
    <w:rsid w:val="00111664"/>
    <w:rsid w:val="001243A7"/>
    <w:rsid w:val="001434D8"/>
    <w:rsid w:val="001465A9"/>
    <w:rsid w:val="00152C59"/>
    <w:rsid w:val="00160AAF"/>
    <w:rsid w:val="0017454E"/>
    <w:rsid w:val="001B6D6D"/>
    <w:rsid w:val="001D630F"/>
    <w:rsid w:val="001E1506"/>
    <w:rsid w:val="001E21BE"/>
    <w:rsid w:val="002562A6"/>
    <w:rsid w:val="00257377"/>
    <w:rsid w:val="00310079"/>
    <w:rsid w:val="003D121F"/>
    <w:rsid w:val="00401506"/>
    <w:rsid w:val="00424361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61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424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436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4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4361"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nhideWhenUsed/>
    <w:rsid w:val="004243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Chinese 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2019-07-04T10:49:00Z</dcterms:created>
  <dcterms:modified xsi:type="dcterms:W3CDTF">2019-07-04T10:49:00Z</dcterms:modified>
</cp:coreProperties>
</file>