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DF5" w:rsidRPr="00C45FE6" w:rsidRDefault="00576DF5" w:rsidP="00576DF5">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576DF5" w:rsidRPr="008E2C68" w:rsidRDefault="00576DF5" w:rsidP="00576DF5">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459"/>
        <w:gridCol w:w="1035"/>
      </w:tblGrid>
      <w:tr w:rsidR="00576DF5" w:rsidTr="00576DF5">
        <w:trPr>
          <w:trHeight w:val="456"/>
          <w:jc w:val="center"/>
        </w:trPr>
        <w:tc>
          <w:tcPr>
            <w:tcW w:w="926" w:type="pct"/>
            <w:vAlign w:val="center"/>
          </w:tcPr>
          <w:p w:rsidR="00576DF5" w:rsidRDefault="00576DF5" w:rsidP="00576DF5">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576DF5" w:rsidRDefault="00576DF5" w:rsidP="003D5E3F">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576DF5" w:rsidRDefault="00576DF5" w:rsidP="003D5E3F">
            <w:pPr>
              <w:spacing w:line="276" w:lineRule="auto"/>
              <w:jc w:val="center"/>
              <w:rPr>
                <w:rFonts w:ascii="宋体" w:hAnsi="宋体"/>
                <w:b/>
                <w:bCs/>
                <w:sz w:val="24"/>
              </w:rPr>
            </w:pPr>
            <w:bookmarkStart w:id="0" w:name="_GoBack"/>
            <w:bookmarkEnd w:id="0"/>
            <w:r>
              <w:rPr>
                <w:rFonts w:ascii="宋体" w:hAnsi="宋体" w:hint="eastAsia"/>
                <w:b/>
                <w:bCs/>
                <w:sz w:val="24"/>
              </w:rPr>
              <w:t>数量</w:t>
            </w:r>
          </w:p>
        </w:tc>
      </w:tr>
      <w:tr w:rsidR="00576DF5" w:rsidTr="00576DF5">
        <w:trPr>
          <w:trHeight w:val="822"/>
          <w:jc w:val="center"/>
        </w:trPr>
        <w:tc>
          <w:tcPr>
            <w:tcW w:w="926" w:type="pct"/>
            <w:vAlign w:val="center"/>
          </w:tcPr>
          <w:p w:rsidR="00576DF5" w:rsidRDefault="00576DF5" w:rsidP="00576DF5">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576DF5" w:rsidRDefault="00576DF5" w:rsidP="003D5E3F">
            <w:pPr>
              <w:jc w:val="center"/>
            </w:pPr>
            <w:r>
              <w:rPr>
                <w:rFonts w:ascii="宋体" w:hAnsi="宋体" w:hint="eastAsia"/>
                <w:bCs/>
                <w:sz w:val="24"/>
              </w:rPr>
              <w:t>全自动便潜血分析仪</w:t>
            </w:r>
          </w:p>
        </w:tc>
        <w:tc>
          <w:tcPr>
            <w:tcW w:w="1207" w:type="pct"/>
            <w:vAlign w:val="center"/>
          </w:tcPr>
          <w:p w:rsidR="00576DF5" w:rsidRDefault="00576DF5" w:rsidP="003D5E3F">
            <w:pPr>
              <w:jc w:val="center"/>
            </w:pPr>
            <w:r>
              <w:rPr>
                <w:rFonts w:hint="eastAsia"/>
              </w:rPr>
              <w:t>1</w:t>
            </w:r>
          </w:p>
        </w:tc>
      </w:tr>
    </w:tbl>
    <w:p w:rsidR="00576DF5" w:rsidRPr="00520092" w:rsidRDefault="00576DF5" w:rsidP="00576DF5">
      <w:pPr>
        <w:spacing w:beforeLines="50" w:before="156" w:line="276" w:lineRule="auto"/>
        <w:jc w:val="left"/>
        <w:rPr>
          <w:rFonts w:ascii="宋体" w:hAnsi="宋体"/>
          <w:color w:val="FF0000"/>
          <w:sz w:val="24"/>
        </w:rPr>
      </w:pPr>
      <w:r w:rsidRPr="00520092">
        <w:rPr>
          <w:rFonts w:ascii="宋体" w:hAnsi="宋体" w:hint="eastAsia"/>
          <w:color w:val="FF0000"/>
          <w:sz w:val="24"/>
        </w:rPr>
        <w:t>说明：</w:t>
      </w:r>
    </w:p>
    <w:p w:rsidR="00576DF5" w:rsidRPr="00520092" w:rsidRDefault="00576DF5" w:rsidP="00576DF5">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576DF5" w:rsidRDefault="00576DF5" w:rsidP="00576DF5">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576DF5" w:rsidRPr="0054632F" w:rsidRDefault="00576DF5" w:rsidP="00576DF5">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576DF5" w:rsidRDefault="00576DF5" w:rsidP="00576DF5">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576DF5" w:rsidRPr="00865AD4" w:rsidRDefault="00576DF5" w:rsidP="00576DF5">
      <w:r w:rsidRPr="00F307F0">
        <w:rPr>
          <w:rFonts w:ascii="宋体" w:hAnsi="宋体" w:hint="eastAsia"/>
          <w:b/>
          <w:color w:val="FF0000"/>
          <w:sz w:val="24"/>
        </w:rPr>
        <w:t>备注：提供原厂技术彩页，原厂技术彩页必须支持投标产品。</w:t>
      </w:r>
    </w:p>
    <w:p w:rsidR="00576DF5" w:rsidRDefault="00576DF5" w:rsidP="00576DF5">
      <w:pPr>
        <w:spacing w:line="276" w:lineRule="auto"/>
        <w:jc w:val="left"/>
      </w:pPr>
      <w:r>
        <w:rPr>
          <w:rFonts w:hint="eastAsia"/>
        </w:rPr>
        <w:t xml:space="preserve">   </w:t>
      </w:r>
    </w:p>
    <w:tbl>
      <w:tblPr>
        <w:tblW w:w="8784" w:type="dxa"/>
        <w:tblCellMar>
          <w:left w:w="28" w:type="dxa"/>
          <w:right w:w="28" w:type="dxa"/>
        </w:tblCellMar>
        <w:tblLook w:val="04A0" w:firstRow="1" w:lastRow="0" w:firstColumn="1" w:lastColumn="0" w:noHBand="0" w:noVBand="1"/>
      </w:tblPr>
      <w:tblGrid>
        <w:gridCol w:w="421"/>
        <w:gridCol w:w="8363"/>
      </w:tblGrid>
      <w:tr w:rsidR="00576DF5" w:rsidRPr="00B8563B" w:rsidTr="003D5E3F">
        <w:trPr>
          <w:trHeight w:val="600"/>
        </w:trPr>
        <w:tc>
          <w:tcPr>
            <w:tcW w:w="421" w:type="dxa"/>
            <w:shd w:val="clear" w:color="auto" w:fill="auto"/>
            <w:noWrap/>
            <w:vAlign w:val="center"/>
            <w:hideMark/>
          </w:tcPr>
          <w:p w:rsidR="00576DF5"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1</w:t>
            </w:r>
          </w:p>
          <w:p w:rsidR="00576DF5" w:rsidRPr="00B8563B" w:rsidRDefault="00576DF5" w:rsidP="003D5E3F">
            <w:pPr>
              <w:widowControl/>
              <w:jc w:val="center"/>
              <w:rPr>
                <w:rFonts w:ascii="仿宋" w:eastAsia="仿宋" w:hAnsi="仿宋"/>
                <w:kern w:val="0"/>
                <w:sz w:val="22"/>
                <w:lang w:eastAsia="zh-TW"/>
              </w:rPr>
            </w:pPr>
          </w:p>
        </w:tc>
        <w:tc>
          <w:tcPr>
            <w:tcW w:w="8363" w:type="dxa"/>
            <w:shd w:val="clear" w:color="auto" w:fill="auto"/>
            <w:vAlign w:val="center"/>
            <w:hideMark/>
          </w:tcPr>
          <w:p w:rsidR="00576DF5" w:rsidRPr="0050477F" w:rsidRDefault="00576DF5" w:rsidP="003D5E3F">
            <w:pPr>
              <w:widowControl/>
              <w:spacing w:line="276" w:lineRule="auto"/>
              <w:jc w:val="left"/>
              <w:rPr>
                <w:rFonts w:ascii="宋体" w:hAnsi="宋体"/>
                <w:sz w:val="24"/>
              </w:rPr>
            </w:pPr>
            <w:r>
              <w:rPr>
                <w:rFonts w:ascii="宋体" w:hAnsi="宋体" w:hint="eastAsia"/>
                <w:sz w:val="24"/>
              </w:rPr>
              <w:t>▲</w:t>
            </w:r>
            <w:r w:rsidRPr="0050477F">
              <w:rPr>
                <w:rFonts w:ascii="宋体" w:hAnsi="宋体" w:hint="eastAsia"/>
                <w:sz w:val="24"/>
              </w:rPr>
              <w:t>测定原理：利用乳胶凝集对抗原抗体反应进行检测，通过对一个已知浓度的标准试剂制定标准曲线，测量出相对于标准试剂的待测样本中人血红蛋白含量。</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2</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Pr>
                <w:rFonts w:ascii="宋体" w:hAnsi="宋体" w:hint="eastAsia"/>
                <w:sz w:val="24"/>
              </w:rPr>
              <w:t>▲</w:t>
            </w:r>
            <w:r w:rsidRPr="0050477F">
              <w:rPr>
                <w:rFonts w:ascii="宋体" w:hAnsi="宋体" w:hint="eastAsia"/>
                <w:sz w:val="24"/>
              </w:rPr>
              <w:t>符合病理学会--实验室CAP认证政策，且在已公示的项目名录中</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3</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检测结果定量，便于准确判断样本中待测物含量</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4</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处理能力</w:t>
            </w:r>
            <w:r w:rsidRPr="0050477F">
              <w:rPr>
                <w:rFonts w:ascii="宋体" w:hAnsi="宋体"/>
                <w:sz w:val="24"/>
              </w:rPr>
              <w:t>≥</w:t>
            </w:r>
            <w:r w:rsidRPr="0050477F">
              <w:rPr>
                <w:rFonts w:ascii="宋体" w:hAnsi="宋体" w:hint="eastAsia"/>
                <w:sz w:val="24"/>
              </w:rPr>
              <w:t>88样本/小时</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5</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全自动，无需人工加样</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6</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Pr>
                <w:rFonts w:ascii="宋体" w:hAnsi="宋体" w:hint="eastAsia"/>
                <w:sz w:val="24"/>
              </w:rPr>
              <w:t>▲</w:t>
            </w:r>
            <w:r w:rsidRPr="0050477F">
              <w:rPr>
                <w:rFonts w:ascii="宋体" w:hAnsi="宋体" w:hint="eastAsia"/>
                <w:sz w:val="24"/>
              </w:rPr>
              <w:t>支持自动重复检测样品</w:t>
            </w:r>
            <w:r w:rsidRPr="0050477F">
              <w:rPr>
                <w:rFonts w:ascii="宋体" w:hAnsi="宋体"/>
                <w:sz w:val="24"/>
              </w:rPr>
              <w:t>≥</w:t>
            </w:r>
            <w:r w:rsidRPr="0050477F">
              <w:rPr>
                <w:rFonts w:ascii="宋体" w:hAnsi="宋体" w:hint="eastAsia"/>
                <w:sz w:val="24"/>
              </w:rPr>
              <w:t>10次</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7</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可同时放置</w:t>
            </w:r>
            <w:r w:rsidRPr="0050477F">
              <w:rPr>
                <w:rFonts w:ascii="宋体" w:hAnsi="宋体"/>
                <w:sz w:val="24"/>
              </w:rPr>
              <w:t>≥</w:t>
            </w:r>
            <w:r w:rsidRPr="0050477F">
              <w:rPr>
                <w:rFonts w:ascii="宋体" w:hAnsi="宋体" w:hint="eastAsia"/>
                <w:sz w:val="24"/>
              </w:rPr>
              <w:t>20个</w:t>
            </w:r>
            <w:proofErr w:type="gramStart"/>
            <w:r w:rsidRPr="0050477F">
              <w:rPr>
                <w:rFonts w:ascii="宋体" w:hAnsi="宋体" w:hint="eastAsia"/>
                <w:sz w:val="24"/>
              </w:rPr>
              <w:t>采便管</w:t>
            </w:r>
            <w:proofErr w:type="gramEnd"/>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8</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可同时放置</w:t>
            </w:r>
            <w:r w:rsidRPr="0050477F">
              <w:rPr>
                <w:rFonts w:ascii="宋体" w:hAnsi="宋体"/>
                <w:sz w:val="24"/>
              </w:rPr>
              <w:t>≥</w:t>
            </w:r>
            <w:r w:rsidRPr="0050477F">
              <w:rPr>
                <w:rFonts w:ascii="宋体" w:hAnsi="宋体" w:hint="eastAsia"/>
                <w:sz w:val="24"/>
              </w:rPr>
              <w:t>20个取样杯</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9</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具备专用样本架</w:t>
            </w:r>
            <w:r w:rsidRPr="0050477F">
              <w:rPr>
                <w:rFonts w:ascii="宋体" w:hAnsi="宋体"/>
                <w:sz w:val="24"/>
              </w:rPr>
              <w:t>≥</w:t>
            </w:r>
            <w:r w:rsidRPr="0050477F">
              <w:rPr>
                <w:rFonts w:ascii="宋体" w:hAnsi="宋体" w:hint="eastAsia"/>
                <w:sz w:val="24"/>
              </w:rPr>
              <w:t>4个</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10</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测定中可追加放置</w:t>
            </w:r>
            <w:proofErr w:type="gramStart"/>
            <w:r w:rsidRPr="0050477F">
              <w:rPr>
                <w:rFonts w:ascii="宋体" w:hAnsi="宋体" w:hint="eastAsia"/>
                <w:sz w:val="24"/>
              </w:rPr>
              <w:t>采便管</w:t>
            </w:r>
            <w:proofErr w:type="gramEnd"/>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11</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测定中可追加放置取样杯</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lastRenderedPageBreak/>
              <w:t>12</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Pr>
                <w:rFonts w:ascii="宋体" w:hAnsi="宋体" w:hint="eastAsia"/>
                <w:sz w:val="24"/>
              </w:rPr>
              <w:t>▲</w:t>
            </w:r>
            <w:r w:rsidRPr="0050477F">
              <w:rPr>
                <w:rFonts w:ascii="宋体" w:hAnsi="宋体" w:hint="eastAsia"/>
                <w:sz w:val="24"/>
              </w:rPr>
              <w:t>支持自动化质</w:t>
            </w:r>
            <w:proofErr w:type="gramStart"/>
            <w:r w:rsidRPr="0050477F">
              <w:rPr>
                <w:rFonts w:ascii="宋体" w:hAnsi="宋体" w:hint="eastAsia"/>
                <w:sz w:val="24"/>
              </w:rPr>
              <w:t>控功能</w:t>
            </w:r>
            <w:proofErr w:type="gramEnd"/>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13</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Pr>
                <w:rFonts w:ascii="宋体" w:hAnsi="宋体" w:hint="eastAsia"/>
                <w:sz w:val="24"/>
              </w:rPr>
              <w:t>▲</w:t>
            </w:r>
            <w:r w:rsidRPr="0050477F">
              <w:rPr>
                <w:rFonts w:ascii="宋体" w:hAnsi="宋体" w:hint="eastAsia"/>
                <w:sz w:val="24"/>
              </w:rPr>
              <w:t>支持自动化重复检测质控</w:t>
            </w:r>
            <w:r w:rsidRPr="0050477F">
              <w:rPr>
                <w:rFonts w:ascii="宋体" w:hAnsi="宋体"/>
                <w:sz w:val="24"/>
              </w:rPr>
              <w:t>≥</w:t>
            </w:r>
            <w:r w:rsidRPr="0050477F">
              <w:rPr>
                <w:rFonts w:ascii="宋体" w:hAnsi="宋体" w:hint="eastAsia"/>
                <w:sz w:val="24"/>
              </w:rPr>
              <w:t>10次</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14</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支持自动化校准曲线制作功能</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15</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自动喷嘴式取样（附带液面探测功能及清洗功能）</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16</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自动喷嘴式试剂分注（附带液面探测功能及清洗功能）</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17</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具备旋转式搅拌棒，自动搅拌（附带洗液及纯化水自动清洗功能）</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18</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具备恒温系统，保证检测的稳定性</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19</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配置废液桶</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20</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光源： LED（波长</w:t>
            </w:r>
            <w:r w:rsidRPr="0050477F">
              <w:rPr>
                <w:rFonts w:ascii="宋体" w:hAnsi="宋体"/>
                <w:sz w:val="24"/>
              </w:rPr>
              <w:t>≥</w:t>
            </w:r>
            <w:r w:rsidRPr="0050477F">
              <w:rPr>
                <w:rFonts w:ascii="宋体" w:hAnsi="宋体" w:hint="eastAsia"/>
                <w:sz w:val="24"/>
              </w:rPr>
              <w:t>660nm）</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21</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具备硅光电二极管探测器</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22</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彩色液晶触屏(（</w:t>
            </w:r>
            <w:r w:rsidRPr="0050477F">
              <w:rPr>
                <w:rFonts w:ascii="宋体" w:hAnsi="宋体"/>
                <w:sz w:val="24"/>
              </w:rPr>
              <w:t>≥</w:t>
            </w:r>
            <w:r w:rsidRPr="0050477F">
              <w:rPr>
                <w:rFonts w:ascii="宋体" w:hAnsi="宋体" w:hint="eastAsia"/>
                <w:sz w:val="24"/>
              </w:rPr>
              <w:t>5.7英寸），系统语言（英语）</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23</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样本结果储存量</w:t>
            </w:r>
            <w:r w:rsidRPr="0050477F">
              <w:rPr>
                <w:rFonts w:ascii="宋体" w:hAnsi="宋体"/>
                <w:sz w:val="24"/>
              </w:rPr>
              <w:t>≥</w:t>
            </w:r>
            <w:r w:rsidRPr="0050477F">
              <w:rPr>
                <w:rFonts w:ascii="宋体" w:hAnsi="宋体" w:hint="eastAsia"/>
                <w:sz w:val="24"/>
              </w:rPr>
              <w:t>4000，样本质</w:t>
            </w:r>
            <w:proofErr w:type="gramStart"/>
            <w:r w:rsidRPr="0050477F">
              <w:rPr>
                <w:rFonts w:ascii="宋体" w:hAnsi="宋体" w:hint="eastAsia"/>
                <w:sz w:val="24"/>
              </w:rPr>
              <w:t>控结果</w:t>
            </w:r>
            <w:proofErr w:type="gramEnd"/>
            <w:r w:rsidRPr="0050477F">
              <w:rPr>
                <w:rFonts w:ascii="宋体" w:hAnsi="宋体" w:hint="eastAsia"/>
                <w:sz w:val="24"/>
              </w:rPr>
              <w:t>储存量</w:t>
            </w:r>
            <w:r w:rsidRPr="0050477F">
              <w:rPr>
                <w:rFonts w:ascii="宋体" w:hAnsi="宋体"/>
                <w:sz w:val="24"/>
              </w:rPr>
              <w:t>≥</w:t>
            </w:r>
            <w:r w:rsidRPr="0050477F">
              <w:rPr>
                <w:rFonts w:ascii="宋体" w:hAnsi="宋体" w:hint="eastAsia"/>
                <w:sz w:val="24"/>
              </w:rPr>
              <w:t>800，测试错误信息存储</w:t>
            </w:r>
            <w:r w:rsidRPr="0050477F">
              <w:rPr>
                <w:rFonts w:ascii="宋体" w:hAnsi="宋体"/>
                <w:sz w:val="24"/>
              </w:rPr>
              <w:t>≥</w:t>
            </w:r>
            <w:r w:rsidRPr="0050477F">
              <w:rPr>
                <w:rFonts w:ascii="宋体" w:hAnsi="宋体" w:hint="eastAsia"/>
                <w:sz w:val="24"/>
              </w:rPr>
              <w:t>1000</w:t>
            </w:r>
          </w:p>
        </w:tc>
      </w:tr>
      <w:tr w:rsidR="00576DF5" w:rsidRPr="00B8563B" w:rsidTr="003D5E3F">
        <w:trPr>
          <w:trHeight w:val="600"/>
        </w:trPr>
        <w:tc>
          <w:tcPr>
            <w:tcW w:w="421" w:type="dxa"/>
            <w:shd w:val="clear" w:color="auto" w:fill="auto"/>
            <w:noWrap/>
            <w:vAlign w:val="center"/>
            <w:hideMark/>
          </w:tcPr>
          <w:p w:rsidR="00576DF5"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24</w:t>
            </w:r>
          </w:p>
          <w:p w:rsidR="00576DF5" w:rsidRPr="00B8563B" w:rsidRDefault="00576DF5" w:rsidP="003D5E3F">
            <w:pPr>
              <w:widowControl/>
              <w:jc w:val="center"/>
              <w:rPr>
                <w:rFonts w:ascii="仿宋" w:eastAsia="仿宋" w:hAnsi="仿宋"/>
                <w:kern w:val="0"/>
                <w:sz w:val="22"/>
                <w:lang w:eastAsia="zh-TW"/>
              </w:rPr>
            </w:pP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支持三种输出方式：打印输出（内设热敏打印纸）、系统输出（RS232C串口）、USB接口</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25</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随机内设样本、样本架条形码扫描器</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26</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准确度：百分偏倚</w:t>
            </w:r>
            <w:r w:rsidRPr="0050477F">
              <w:rPr>
                <w:rFonts w:ascii="宋体" w:hAnsi="宋体"/>
                <w:sz w:val="24"/>
              </w:rPr>
              <w:t>≤</w:t>
            </w:r>
            <w:r w:rsidRPr="0050477F">
              <w:rPr>
                <w:rFonts w:ascii="宋体" w:hAnsi="宋体" w:hint="eastAsia"/>
                <w:sz w:val="24"/>
              </w:rPr>
              <w:t>10%</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27</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重复性：CV</w:t>
            </w:r>
            <w:r w:rsidRPr="0050477F">
              <w:rPr>
                <w:rFonts w:ascii="宋体" w:hAnsi="宋体"/>
                <w:sz w:val="24"/>
              </w:rPr>
              <w:t>≤</w:t>
            </w:r>
            <w:r w:rsidRPr="0050477F">
              <w:rPr>
                <w:rFonts w:ascii="宋体" w:hAnsi="宋体" w:hint="eastAsia"/>
                <w:sz w:val="24"/>
              </w:rPr>
              <w:t>7%</w:t>
            </w:r>
          </w:p>
        </w:tc>
      </w:tr>
      <w:tr w:rsidR="00576DF5" w:rsidRPr="00B8563B" w:rsidTr="003D5E3F">
        <w:trPr>
          <w:trHeight w:val="600"/>
        </w:trPr>
        <w:tc>
          <w:tcPr>
            <w:tcW w:w="421" w:type="dxa"/>
            <w:shd w:val="clear" w:color="auto" w:fill="auto"/>
            <w:noWrap/>
            <w:vAlign w:val="center"/>
            <w:hideMark/>
          </w:tcPr>
          <w:p w:rsidR="00576DF5" w:rsidRPr="00B8563B" w:rsidRDefault="00576DF5" w:rsidP="003D5E3F">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28</w:t>
            </w:r>
          </w:p>
        </w:tc>
        <w:tc>
          <w:tcPr>
            <w:tcW w:w="8363" w:type="dxa"/>
            <w:shd w:val="clear" w:color="auto" w:fill="auto"/>
            <w:noWrap/>
            <w:vAlign w:val="center"/>
            <w:hideMark/>
          </w:tcPr>
          <w:p w:rsidR="00576DF5" w:rsidRPr="0050477F" w:rsidRDefault="00576DF5" w:rsidP="003D5E3F">
            <w:pPr>
              <w:widowControl/>
              <w:spacing w:line="276" w:lineRule="auto"/>
              <w:jc w:val="left"/>
              <w:rPr>
                <w:rFonts w:ascii="宋体" w:hAnsi="宋体"/>
                <w:sz w:val="24"/>
              </w:rPr>
            </w:pPr>
            <w:r w:rsidRPr="0050477F">
              <w:rPr>
                <w:rFonts w:ascii="宋体" w:hAnsi="宋体" w:hint="eastAsia"/>
                <w:sz w:val="24"/>
              </w:rPr>
              <w:t>携带污染率</w:t>
            </w:r>
            <w:r w:rsidRPr="0050477F">
              <w:rPr>
                <w:rFonts w:ascii="宋体" w:hAnsi="宋体"/>
                <w:sz w:val="24"/>
              </w:rPr>
              <w:t>≤</w:t>
            </w:r>
            <w:r w:rsidRPr="0050477F">
              <w:rPr>
                <w:rFonts w:ascii="宋体" w:hAnsi="宋体" w:hint="eastAsia"/>
                <w:sz w:val="24"/>
              </w:rPr>
              <w:t>0.01%</w:t>
            </w:r>
          </w:p>
        </w:tc>
      </w:tr>
      <w:tr w:rsidR="00576DF5" w:rsidRPr="00B8563B" w:rsidTr="003D5E3F">
        <w:trPr>
          <w:trHeight w:val="600"/>
        </w:trPr>
        <w:tc>
          <w:tcPr>
            <w:tcW w:w="421" w:type="dxa"/>
            <w:shd w:val="clear" w:color="auto" w:fill="auto"/>
            <w:noWrap/>
            <w:vAlign w:val="center"/>
            <w:hideMark/>
          </w:tcPr>
          <w:p w:rsidR="00576DF5" w:rsidRPr="00F737E3" w:rsidRDefault="00576DF5" w:rsidP="003D5E3F">
            <w:pPr>
              <w:widowControl/>
              <w:jc w:val="center"/>
              <w:rPr>
                <w:rFonts w:ascii="仿宋" w:eastAsia="仿宋" w:hAnsi="仿宋"/>
                <w:kern w:val="0"/>
                <w:sz w:val="22"/>
              </w:rPr>
            </w:pPr>
            <w:r w:rsidRPr="00F737E3">
              <w:rPr>
                <w:rFonts w:ascii="仿宋" w:eastAsia="仿宋" w:hAnsi="仿宋" w:hint="eastAsia"/>
                <w:kern w:val="0"/>
                <w:sz w:val="22"/>
              </w:rPr>
              <w:t xml:space="preserve">29    </w:t>
            </w:r>
          </w:p>
        </w:tc>
        <w:tc>
          <w:tcPr>
            <w:tcW w:w="8363" w:type="dxa"/>
            <w:shd w:val="clear" w:color="auto" w:fill="auto"/>
            <w:noWrap/>
            <w:vAlign w:val="center"/>
            <w:hideMark/>
          </w:tcPr>
          <w:p w:rsidR="00576DF5" w:rsidRPr="00F737E3" w:rsidRDefault="00576DF5" w:rsidP="003D5E3F">
            <w:pPr>
              <w:widowControl/>
              <w:spacing w:line="276" w:lineRule="auto"/>
              <w:jc w:val="left"/>
              <w:rPr>
                <w:rFonts w:ascii="宋体" w:hAnsi="宋体"/>
                <w:sz w:val="24"/>
              </w:rPr>
            </w:pPr>
            <w:proofErr w:type="gramStart"/>
            <w:r w:rsidRPr="00F737E3">
              <w:rPr>
                <w:rFonts w:ascii="宋体" w:hAnsi="宋体" w:hint="eastAsia"/>
                <w:sz w:val="24"/>
              </w:rPr>
              <w:t>耗材每单人</w:t>
            </w:r>
            <w:proofErr w:type="gramEnd"/>
            <w:r w:rsidRPr="00F737E3">
              <w:rPr>
                <w:rFonts w:ascii="宋体" w:hAnsi="宋体" w:hint="eastAsia"/>
                <w:sz w:val="24"/>
              </w:rPr>
              <w:t xml:space="preserve">份≤33元    </w:t>
            </w:r>
          </w:p>
        </w:tc>
      </w:tr>
    </w:tbl>
    <w:p w:rsidR="00C5048A" w:rsidRDefault="00C5048A"/>
    <w:sectPr w:rsidR="00C50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F5" w:rsidRDefault="00576DF5" w:rsidP="00576DF5">
      <w:r>
        <w:separator/>
      </w:r>
    </w:p>
  </w:endnote>
  <w:endnote w:type="continuationSeparator" w:id="0">
    <w:p w:rsidR="00576DF5" w:rsidRDefault="00576DF5" w:rsidP="0057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F5" w:rsidRDefault="00576DF5" w:rsidP="00576DF5">
      <w:r>
        <w:separator/>
      </w:r>
    </w:p>
  </w:footnote>
  <w:footnote w:type="continuationSeparator" w:id="0">
    <w:p w:rsidR="00576DF5" w:rsidRDefault="00576DF5" w:rsidP="00576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75"/>
    <w:rsid w:val="00576DF5"/>
    <w:rsid w:val="00C5048A"/>
    <w:rsid w:val="00DE0275"/>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DF5"/>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576DF5"/>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576DF5"/>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6D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6DF5"/>
    <w:rPr>
      <w:sz w:val="18"/>
      <w:szCs w:val="18"/>
    </w:rPr>
  </w:style>
  <w:style w:type="paragraph" w:styleId="a4">
    <w:name w:val="footer"/>
    <w:basedOn w:val="a"/>
    <w:link w:val="Char0"/>
    <w:uiPriority w:val="99"/>
    <w:unhideWhenUsed/>
    <w:rsid w:val="00576DF5"/>
    <w:pPr>
      <w:tabs>
        <w:tab w:val="center" w:pos="4153"/>
        <w:tab w:val="right" w:pos="8306"/>
      </w:tabs>
      <w:snapToGrid w:val="0"/>
      <w:jc w:val="left"/>
    </w:pPr>
    <w:rPr>
      <w:sz w:val="18"/>
      <w:szCs w:val="18"/>
    </w:rPr>
  </w:style>
  <w:style w:type="character" w:customStyle="1" w:styleId="Char0">
    <w:name w:val="页脚 Char"/>
    <w:basedOn w:val="a0"/>
    <w:link w:val="a4"/>
    <w:uiPriority w:val="99"/>
    <w:rsid w:val="00576DF5"/>
    <w:rPr>
      <w:sz w:val="18"/>
      <w:szCs w:val="18"/>
    </w:rPr>
  </w:style>
  <w:style w:type="character" w:customStyle="1" w:styleId="2Char">
    <w:name w:val="标题 2 Char"/>
    <w:basedOn w:val="a0"/>
    <w:link w:val="2"/>
    <w:rsid w:val="00576DF5"/>
    <w:rPr>
      <w:rFonts w:ascii="Arial" w:eastAsia="仿宋_GB2312" w:hAnsi="Arial" w:cs="Times New Roman"/>
      <w:b/>
      <w:bCs/>
      <w:sz w:val="28"/>
      <w:szCs w:val="32"/>
    </w:rPr>
  </w:style>
  <w:style w:type="character" w:customStyle="1" w:styleId="3Char">
    <w:name w:val="标题 3 Char"/>
    <w:basedOn w:val="a0"/>
    <w:link w:val="3"/>
    <w:qFormat/>
    <w:rsid w:val="00576DF5"/>
    <w:rPr>
      <w:rFonts w:ascii="Times New Roman" w:eastAsia="仿宋_GB2312" w:hAnsi="Times New Roman" w:cs="Times New Roman"/>
      <w:b/>
      <w:bCs/>
      <w:sz w:val="28"/>
      <w:szCs w:val="32"/>
    </w:rPr>
  </w:style>
  <w:style w:type="paragraph" w:styleId="a5">
    <w:name w:val="List Paragraph"/>
    <w:basedOn w:val="a"/>
    <w:uiPriority w:val="99"/>
    <w:qFormat/>
    <w:rsid w:val="00576DF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DF5"/>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576DF5"/>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576DF5"/>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6D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6DF5"/>
    <w:rPr>
      <w:sz w:val="18"/>
      <w:szCs w:val="18"/>
    </w:rPr>
  </w:style>
  <w:style w:type="paragraph" w:styleId="a4">
    <w:name w:val="footer"/>
    <w:basedOn w:val="a"/>
    <w:link w:val="Char0"/>
    <w:uiPriority w:val="99"/>
    <w:unhideWhenUsed/>
    <w:rsid w:val="00576DF5"/>
    <w:pPr>
      <w:tabs>
        <w:tab w:val="center" w:pos="4153"/>
        <w:tab w:val="right" w:pos="8306"/>
      </w:tabs>
      <w:snapToGrid w:val="0"/>
      <w:jc w:val="left"/>
    </w:pPr>
    <w:rPr>
      <w:sz w:val="18"/>
      <w:szCs w:val="18"/>
    </w:rPr>
  </w:style>
  <w:style w:type="character" w:customStyle="1" w:styleId="Char0">
    <w:name w:val="页脚 Char"/>
    <w:basedOn w:val="a0"/>
    <w:link w:val="a4"/>
    <w:uiPriority w:val="99"/>
    <w:rsid w:val="00576DF5"/>
    <w:rPr>
      <w:sz w:val="18"/>
      <w:szCs w:val="18"/>
    </w:rPr>
  </w:style>
  <w:style w:type="character" w:customStyle="1" w:styleId="2Char">
    <w:name w:val="标题 2 Char"/>
    <w:basedOn w:val="a0"/>
    <w:link w:val="2"/>
    <w:rsid w:val="00576DF5"/>
    <w:rPr>
      <w:rFonts w:ascii="Arial" w:eastAsia="仿宋_GB2312" w:hAnsi="Arial" w:cs="Times New Roman"/>
      <w:b/>
      <w:bCs/>
      <w:sz w:val="28"/>
      <w:szCs w:val="32"/>
    </w:rPr>
  </w:style>
  <w:style w:type="character" w:customStyle="1" w:styleId="3Char">
    <w:name w:val="标题 3 Char"/>
    <w:basedOn w:val="a0"/>
    <w:link w:val="3"/>
    <w:qFormat/>
    <w:rsid w:val="00576DF5"/>
    <w:rPr>
      <w:rFonts w:ascii="Times New Roman" w:eastAsia="仿宋_GB2312" w:hAnsi="Times New Roman" w:cs="Times New Roman"/>
      <w:b/>
      <w:bCs/>
      <w:sz w:val="28"/>
      <w:szCs w:val="32"/>
    </w:rPr>
  </w:style>
  <w:style w:type="paragraph" w:styleId="a5">
    <w:name w:val="List Paragraph"/>
    <w:basedOn w:val="a"/>
    <w:uiPriority w:val="99"/>
    <w:qFormat/>
    <w:rsid w:val="00576D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2020-12-02T01:28:00Z</dcterms:created>
  <dcterms:modified xsi:type="dcterms:W3CDTF">2020-12-02T01:28:00Z</dcterms:modified>
</cp:coreProperties>
</file>