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0B" w:rsidRDefault="00C2360B" w:rsidP="00C2360B">
      <w:pPr>
        <w:pStyle w:val="2"/>
        <w:spacing w:after="240" w:line="276" w:lineRule="auto"/>
        <w:jc w:val="center"/>
        <w:rPr>
          <w:rFonts w:asciiTheme="minorEastAsia" w:eastAsiaTheme="minorEastAsia" w:hAnsiTheme="minorEastAsia"/>
          <w:sz w:val="40"/>
        </w:rPr>
      </w:pPr>
      <w:r>
        <w:rPr>
          <w:rFonts w:asciiTheme="minorEastAsia" w:eastAsiaTheme="minorEastAsia" w:hAnsiTheme="minorEastAsia" w:hint="eastAsia"/>
          <w:sz w:val="40"/>
        </w:rPr>
        <w:t>项目要求</w:t>
      </w:r>
    </w:p>
    <w:p w:rsidR="00C2360B" w:rsidRDefault="00C2360B" w:rsidP="00C2360B">
      <w:pPr>
        <w:pStyle w:val="3"/>
        <w:numPr>
          <w:ilvl w:val="0"/>
          <w:numId w:val="1"/>
        </w:numPr>
        <w:spacing w:before="240"/>
        <w:ind w:left="0" w:firstLineChars="0" w:firstLine="567"/>
        <w:rPr>
          <w:rFonts w:ascii="宋体" w:eastAsia="宋体" w:hAnsi="宋体" w:hint="eastAsia"/>
          <w:sz w:val="24"/>
          <w:szCs w:val="24"/>
        </w:rPr>
      </w:pPr>
      <w:r>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C2360B" w:rsidTr="00C2360B">
        <w:trPr>
          <w:trHeight w:val="456"/>
          <w:jc w:val="center"/>
        </w:trPr>
        <w:tc>
          <w:tcPr>
            <w:tcW w:w="926" w:type="pct"/>
            <w:tcBorders>
              <w:top w:val="single" w:sz="4" w:space="0" w:color="auto"/>
              <w:left w:val="single" w:sz="4" w:space="0" w:color="auto"/>
              <w:bottom w:val="single" w:sz="4" w:space="0" w:color="auto"/>
              <w:right w:val="single" w:sz="4" w:space="0" w:color="auto"/>
            </w:tcBorders>
            <w:vAlign w:val="center"/>
            <w:hideMark/>
          </w:tcPr>
          <w:p w:rsidR="00C2360B" w:rsidRDefault="00C2360B" w:rsidP="00C2360B">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tcBorders>
              <w:top w:val="single" w:sz="4" w:space="0" w:color="auto"/>
              <w:left w:val="single" w:sz="4" w:space="0" w:color="auto"/>
              <w:bottom w:val="single" w:sz="4" w:space="0" w:color="auto"/>
              <w:right w:val="single" w:sz="4" w:space="0" w:color="auto"/>
            </w:tcBorders>
            <w:vAlign w:val="center"/>
            <w:hideMark/>
          </w:tcPr>
          <w:p w:rsidR="00C2360B" w:rsidRDefault="00C2360B">
            <w:pPr>
              <w:spacing w:line="276" w:lineRule="auto"/>
              <w:jc w:val="center"/>
              <w:rPr>
                <w:rFonts w:ascii="宋体" w:hAnsi="宋体"/>
                <w:b/>
                <w:bCs/>
                <w:sz w:val="24"/>
              </w:rPr>
            </w:pPr>
            <w:r>
              <w:rPr>
                <w:rFonts w:ascii="宋体" w:hAnsi="宋体" w:hint="eastAsia"/>
                <w:b/>
                <w:bCs/>
                <w:sz w:val="24"/>
              </w:rPr>
              <w:t>货物名称</w:t>
            </w:r>
          </w:p>
        </w:tc>
        <w:tc>
          <w:tcPr>
            <w:tcW w:w="1207" w:type="pct"/>
            <w:tcBorders>
              <w:top w:val="single" w:sz="4" w:space="0" w:color="auto"/>
              <w:left w:val="single" w:sz="4" w:space="0" w:color="auto"/>
              <w:bottom w:val="single" w:sz="4" w:space="0" w:color="auto"/>
              <w:right w:val="single" w:sz="4" w:space="0" w:color="auto"/>
            </w:tcBorders>
            <w:vAlign w:val="center"/>
            <w:hideMark/>
          </w:tcPr>
          <w:p w:rsidR="00C2360B" w:rsidRDefault="00C2360B">
            <w:pPr>
              <w:spacing w:line="276" w:lineRule="auto"/>
              <w:jc w:val="center"/>
              <w:rPr>
                <w:rFonts w:ascii="宋体" w:hAnsi="宋体"/>
                <w:b/>
                <w:bCs/>
                <w:sz w:val="24"/>
              </w:rPr>
            </w:pPr>
            <w:r>
              <w:rPr>
                <w:rFonts w:ascii="宋体" w:hAnsi="宋体" w:hint="eastAsia"/>
                <w:b/>
                <w:bCs/>
                <w:sz w:val="24"/>
              </w:rPr>
              <w:t>数量</w:t>
            </w:r>
          </w:p>
        </w:tc>
      </w:tr>
      <w:tr w:rsidR="00C2360B" w:rsidTr="00C2360B">
        <w:trPr>
          <w:trHeight w:val="822"/>
          <w:jc w:val="center"/>
        </w:trPr>
        <w:tc>
          <w:tcPr>
            <w:tcW w:w="926" w:type="pct"/>
            <w:tcBorders>
              <w:top w:val="single" w:sz="4" w:space="0" w:color="auto"/>
              <w:left w:val="single" w:sz="4" w:space="0" w:color="auto"/>
              <w:bottom w:val="single" w:sz="4" w:space="0" w:color="auto"/>
              <w:right w:val="single" w:sz="4" w:space="0" w:color="auto"/>
            </w:tcBorders>
            <w:vAlign w:val="center"/>
          </w:tcPr>
          <w:p w:rsidR="00C2360B" w:rsidRDefault="00C2360B" w:rsidP="00C2360B">
            <w:pPr>
              <w:pStyle w:val="a3"/>
              <w:numPr>
                <w:ilvl w:val="0"/>
                <w:numId w:val="2"/>
              </w:numPr>
              <w:spacing w:line="276" w:lineRule="auto"/>
              <w:ind w:left="0" w:rightChars="12" w:right="34" w:firstLineChars="0" w:firstLine="0"/>
              <w:jc w:val="center"/>
              <w:rPr>
                <w:rFonts w:asciiTheme="minorEastAsia" w:eastAsiaTheme="minorEastAsia" w:hAnsiTheme="minorEastAsia"/>
                <w:b/>
                <w:bCs/>
                <w:sz w:val="24"/>
              </w:rPr>
            </w:pPr>
          </w:p>
        </w:tc>
        <w:tc>
          <w:tcPr>
            <w:tcW w:w="2867" w:type="pct"/>
            <w:tcBorders>
              <w:top w:val="single" w:sz="4" w:space="0" w:color="auto"/>
              <w:left w:val="single" w:sz="4" w:space="0" w:color="auto"/>
              <w:bottom w:val="single" w:sz="4" w:space="0" w:color="auto"/>
              <w:right w:val="single" w:sz="4" w:space="0" w:color="auto"/>
            </w:tcBorders>
            <w:vAlign w:val="center"/>
            <w:hideMark/>
          </w:tcPr>
          <w:p w:rsidR="00C2360B" w:rsidRDefault="00C2360B">
            <w:pPr>
              <w:jc w:val="center"/>
              <w:rPr>
                <w:sz w:val="24"/>
              </w:rPr>
            </w:pPr>
            <w:r>
              <w:rPr>
                <w:rFonts w:hint="eastAsia"/>
                <w:sz w:val="24"/>
              </w:rPr>
              <w:t>超声波清洗机</w:t>
            </w:r>
          </w:p>
        </w:tc>
        <w:tc>
          <w:tcPr>
            <w:tcW w:w="1207" w:type="pct"/>
            <w:tcBorders>
              <w:top w:val="single" w:sz="4" w:space="0" w:color="auto"/>
              <w:left w:val="single" w:sz="4" w:space="0" w:color="auto"/>
              <w:bottom w:val="single" w:sz="4" w:space="0" w:color="auto"/>
              <w:right w:val="single" w:sz="4" w:space="0" w:color="auto"/>
            </w:tcBorders>
            <w:vAlign w:val="center"/>
            <w:hideMark/>
          </w:tcPr>
          <w:p w:rsidR="00C2360B" w:rsidRDefault="00C2360B">
            <w:pPr>
              <w:jc w:val="center"/>
              <w:rPr>
                <w:sz w:val="24"/>
              </w:rPr>
            </w:pPr>
            <w:r>
              <w:rPr>
                <w:sz w:val="24"/>
              </w:rPr>
              <w:t>1</w:t>
            </w:r>
            <w:r>
              <w:rPr>
                <w:rFonts w:hint="eastAsia"/>
                <w:sz w:val="24"/>
              </w:rPr>
              <w:t>台</w:t>
            </w:r>
          </w:p>
        </w:tc>
      </w:tr>
      <w:tr w:rsidR="00C2360B" w:rsidTr="00C2360B">
        <w:trPr>
          <w:trHeight w:val="822"/>
          <w:jc w:val="center"/>
        </w:trPr>
        <w:tc>
          <w:tcPr>
            <w:tcW w:w="926" w:type="pct"/>
            <w:tcBorders>
              <w:top w:val="single" w:sz="4" w:space="0" w:color="auto"/>
              <w:left w:val="single" w:sz="4" w:space="0" w:color="auto"/>
              <w:bottom w:val="single" w:sz="4" w:space="0" w:color="auto"/>
              <w:right w:val="single" w:sz="4" w:space="0" w:color="auto"/>
            </w:tcBorders>
            <w:vAlign w:val="center"/>
          </w:tcPr>
          <w:p w:rsidR="00C2360B" w:rsidRDefault="00C2360B" w:rsidP="00C2360B">
            <w:pPr>
              <w:pStyle w:val="a3"/>
              <w:numPr>
                <w:ilvl w:val="0"/>
                <w:numId w:val="2"/>
              </w:numPr>
              <w:spacing w:line="276" w:lineRule="auto"/>
              <w:ind w:left="0" w:rightChars="12" w:right="34" w:firstLineChars="0" w:firstLine="0"/>
              <w:jc w:val="center"/>
              <w:rPr>
                <w:rFonts w:asciiTheme="minorEastAsia" w:eastAsiaTheme="minorEastAsia" w:hAnsiTheme="minorEastAsia"/>
                <w:b/>
                <w:bCs/>
                <w:sz w:val="24"/>
              </w:rPr>
            </w:pPr>
          </w:p>
        </w:tc>
        <w:tc>
          <w:tcPr>
            <w:tcW w:w="2867" w:type="pct"/>
            <w:tcBorders>
              <w:top w:val="single" w:sz="4" w:space="0" w:color="auto"/>
              <w:left w:val="single" w:sz="4" w:space="0" w:color="auto"/>
              <w:bottom w:val="single" w:sz="4" w:space="0" w:color="auto"/>
              <w:right w:val="single" w:sz="4" w:space="0" w:color="auto"/>
            </w:tcBorders>
            <w:vAlign w:val="center"/>
            <w:hideMark/>
          </w:tcPr>
          <w:p w:rsidR="00C2360B" w:rsidRDefault="00C2360B">
            <w:pPr>
              <w:jc w:val="center"/>
              <w:rPr>
                <w:sz w:val="24"/>
              </w:rPr>
            </w:pPr>
            <w:r>
              <w:rPr>
                <w:rFonts w:hint="eastAsia"/>
                <w:sz w:val="24"/>
              </w:rPr>
              <w:t>器械清洗工作站</w:t>
            </w:r>
          </w:p>
        </w:tc>
        <w:tc>
          <w:tcPr>
            <w:tcW w:w="1207" w:type="pct"/>
            <w:tcBorders>
              <w:top w:val="single" w:sz="4" w:space="0" w:color="auto"/>
              <w:left w:val="single" w:sz="4" w:space="0" w:color="auto"/>
              <w:bottom w:val="single" w:sz="4" w:space="0" w:color="auto"/>
              <w:right w:val="single" w:sz="4" w:space="0" w:color="auto"/>
            </w:tcBorders>
            <w:vAlign w:val="center"/>
            <w:hideMark/>
          </w:tcPr>
          <w:p w:rsidR="00C2360B" w:rsidRDefault="00C2360B">
            <w:pPr>
              <w:jc w:val="center"/>
              <w:rPr>
                <w:sz w:val="24"/>
              </w:rPr>
            </w:pPr>
            <w:r>
              <w:rPr>
                <w:sz w:val="24"/>
              </w:rPr>
              <w:t>1</w:t>
            </w:r>
            <w:r>
              <w:rPr>
                <w:rFonts w:hint="eastAsia"/>
                <w:sz w:val="24"/>
              </w:rPr>
              <w:t>套</w:t>
            </w:r>
          </w:p>
        </w:tc>
        <w:bookmarkStart w:id="0" w:name="_GoBack"/>
        <w:bookmarkEnd w:id="0"/>
      </w:tr>
    </w:tbl>
    <w:p w:rsidR="00C2360B" w:rsidRDefault="00C2360B" w:rsidP="00C2360B">
      <w:pPr>
        <w:spacing w:beforeLines="50" w:before="156" w:afterLines="50" w:after="156"/>
        <w:jc w:val="left"/>
        <w:rPr>
          <w:rFonts w:ascii="宋体" w:hAnsi="宋体" w:hint="eastAsia"/>
          <w:color w:val="FF0000"/>
          <w:sz w:val="24"/>
        </w:rPr>
      </w:pPr>
      <w:r>
        <w:rPr>
          <w:rFonts w:ascii="宋体" w:hAnsi="宋体" w:hint="eastAsia"/>
          <w:color w:val="FF0000"/>
          <w:sz w:val="24"/>
        </w:rPr>
        <w:t>说明：</w:t>
      </w:r>
    </w:p>
    <w:p w:rsidR="00C2360B" w:rsidRDefault="00C2360B" w:rsidP="00C2360B">
      <w:pPr>
        <w:spacing w:beforeLines="50" w:before="156" w:afterLines="50" w:after="156"/>
        <w:jc w:val="left"/>
        <w:rPr>
          <w:rFonts w:ascii="宋体" w:hAnsi="宋体" w:hint="eastAsia"/>
          <w:color w:val="FF0000"/>
          <w:sz w:val="24"/>
        </w:rPr>
      </w:pPr>
      <w:r>
        <w:rPr>
          <w:rFonts w:ascii="宋体" w:hAnsi="宋体" w:hint="eastAsia"/>
          <w:color w:val="FF0000"/>
          <w:sz w:val="24"/>
        </w:rPr>
        <w:t>1.</w:t>
      </w:r>
      <w:r>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C2360B" w:rsidRDefault="00C2360B" w:rsidP="00C2360B">
      <w:pPr>
        <w:spacing w:beforeLines="50" w:before="156" w:afterLines="50" w:after="156"/>
        <w:jc w:val="left"/>
        <w:rPr>
          <w:rFonts w:ascii="宋体" w:hAnsi="宋体" w:hint="eastAsia"/>
          <w:color w:val="FF0000"/>
          <w:sz w:val="24"/>
        </w:rPr>
      </w:pPr>
      <w:r>
        <w:rPr>
          <w:rFonts w:ascii="宋体" w:hAnsi="宋体" w:hint="eastAsia"/>
          <w:color w:val="FF0000"/>
          <w:sz w:val="24"/>
        </w:rPr>
        <w:t>2.本项目不接受拆分，同一</w:t>
      </w:r>
      <w:proofErr w:type="gramStart"/>
      <w:r>
        <w:rPr>
          <w:rFonts w:ascii="宋体" w:hAnsi="宋体" w:hint="eastAsia"/>
          <w:color w:val="FF0000"/>
          <w:sz w:val="24"/>
        </w:rPr>
        <w:t>品牌仅</w:t>
      </w:r>
      <w:proofErr w:type="gramEnd"/>
      <w:r>
        <w:rPr>
          <w:rFonts w:ascii="宋体" w:hAnsi="宋体" w:hint="eastAsia"/>
          <w:color w:val="FF0000"/>
          <w:sz w:val="24"/>
        </w:rPr>
        <w:t>可有一家供应商参加本项目的投标，如多家供应商参加同一品牌产品投标，仅以一位供应商计算。</w:t>
      </w:r>
    </w:p>
    <w:p w:rsidR="00C2360B" w:rsidRDefault="00C2360B" w:rsidP="00C2360B">
      <w:pPr>
        <w:spacing w:beforeLines="50" w:before="156" w:afterLines="50" w:after="156"/>
        <w:jc w:val="left"/>
        <w:rPr>
          <w:rFonts w:ascii="宋体" w:hAnsi="宋体" w:hint="eastAsia"/>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C2360B" w:rsidRDefault="00C2360B" w:rsidP="00C2360B">
      <w:pPr>
        <w:pStyle w:val="3"/>
        <w:numPr>
          <w:ilvl w:val="0"/>
          <w:numId w:val="1"/>
        </w:numPr>
        <w:spacing w:before="240"/>
        <w:ind w:left="0" w:firstLineChars="0" w:firstLine="567"/>
        <w:rPr>
          <w:rFonts w:ascii="宋体" w:eastAsia="宋体" w:hAnsi="宋体" w:hint="eastAsia"/>
          <w:sz w:val="24"/>
          <w:szCs w:val="24"/>
        </w:rPr>
      </w:pPr>
      <w:r>
        <w:rPr>
          <w:rFonts w:ascii="宋体" w:eastAsia="宋体" w:hAnsi="宋体" w:hint="eastAsia"/>
          <w:sz w:val="24"/>
          <w:szCs w:val="24"/>
        </w:rPr>
        <w:t>具体技术要求</w:t>
      </w:r>
    </w:p>
    <w:p w:rsidR="00C2360B" w:rsidRDefault="00C2360B" w:rsidP="00C2360B">
      <w:pPr>
        <w:rPr>
          <w:rFonts w:ascii="宋体" w:hAnsi="宋体" w:hint="eastAsia"/>
          <w:b/>
          <w:color w:val="FF0000"/>
          <w:sz w:val="24"/>
        </w:rPr>
      </w:pPr>
      <w:r>
        <w:rPr>
          <w:rFonts w:ascii="宋体" w:hAnsi="宋体" w:hint="eastAsia"/>
          <w:b/>
          <w:color w:val="FF0000"/>
          <w:sz w:val="24"/>
        </w:rPr>
        <w:t>备注：提供原厂技术彩页，原厂技术彩页必须支持投标产品。</w:t>
      </w:r>
    </w:p>
    <w:p w:rsidR="00C2360B" w:rsidRDefault="00C2360B" w:rsidP="00C2360B">
      <w:pPr>
        <w:rPr>
          <w:rFonts w:ascii="宋体" w:hAnsi="宋体" w:hint="eastAsia"/>
          <w:b/>
          <w:sz w:val="24"/>
        </w:rPr>
      </w:pPr>
      <w:r>
        <w:rPr>
          <w:rFonts w:ascii="宋体" w:hAnsi="宋体" w:hint="eastAsia"/>
          <w:b/>
          <w:sz w:val="24"/>
        </w:rPr>
        <w:t>设备一、超声波清洗机</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1.▲能</w:t>
      </w:r>
      <w:proofErr w:type="gramStart"/>
      <w:r>
        <w:rPr>
          <w:rFonts w:ascii="宋体" w:hAnsi="宋体" w:hint="eastAsia"/>
          <w:sz w:val="24"/>
        </w:rPr>
        <w:t>满足达</w:t>
      </w:r>
      <w:proofErr w:type="gramEnd"/>
      <w:r>
        <w:rPr>
          <w:rFonts w:ascii="宋体" w:hAnsi="宋体" w:hint="eastAsia"/>
          <w:sz w:val="24"/>
        </w:rPr>
        <w:t>芬奇机器人手术器械的震荡超声清洗使用需求，清洗槽内腔的长度≥750mm尺寸要求。</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2.超声波清洗机由控制系统、加酶加热循环系统、自动给排水系统、超声清洗系统共同组成，可实现粗洗、清洗、精洗至少三种方式的清洗，使被清洗器械上不同性质的污垢得到全方位的清洗。</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3. ▲能</w:t>
      </w:r>
      <w:proofErr w:type="gramStart"/>
      <w:r>
        <w:rPr>
          <w:rFonts w:ascii="宋体" w:hAnsi="宋体" w:hint="eastAsia"/>
          <w:sz w:val="24"/>
        </w:rPr>
        <w:t>满足达</w:t>
      </w:r>
      <w:proofErr w:type="gramEnd"/>
      <w:r>
        <w:rPr>
          <w:rFonts w:ascii="宋体" w:hAnsi="宋体" w:hint="eastAsia"/>
          <w:sz w:val="24"/>
        </w:rPr>
        <w:t>芬奇机器人手术器械和软式内镜附件的彻底清洗的使用需求，采用</w:t>
      </w:r>
      <w:proofErr w:type="gramStart"/>
      <w:r>
        <w:rPr>
          <w:rFonts w:ascii="宋体" w:hAnsi="宋体" w:hint="eastAsia"/>
          <w:sz w:val="24"/>
        </w:rPr>
        <w:t>一机单</w:t>
      </w:r>
      <w:proofErr w:type="gramEnd"/>
      <w:r>
        <w:rPr>
          <w:rFonts w:ascii="宋体" w:hAnsi="宋体" w:hint="eastAsia"/>
          <w:sz w:val="24"/>
        </w:rPr>
        <w:t>频、一机双频、</w:t>
      </w:r>
      <w:proofErr w:type="gramStart"/>
      <w:r>
        <w:rPr>
          <w:rFonts w:ascii="宋体" w:hAnsi="宋体" w:hint="eastAsia"/>
          <w:sz w:val="24"/>
        </w:rPr>
        <w:t>一机三频的</w:t>
      </w:r>
      <w:proofErr w:type="gramEnd"/>
      <w:r>
        <w:rPr>
          <w:rFonts w:ascii="宋体" w:hAnsi="宋体" w:hint="eastAsia"/>
          <w:sz w:val="24"/>
        </w:rPr>
        <w:t>形式，可实现至少40KHz、80KHz、100KHz三种频率之间自由转换多种模式。</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4.实现隐藏式循环加热，对清洗介质实现自动加热，</w:t>
      </w:r>
      <w:proofErr w:type="gramStart"/>
      <w:r>
        <w:rPr>
          <w:rFonts w:ascii="宋体" w:hAnsi="宋体" w:hint="eastAsia"/>
          <w:sz w:val="24"/>
        </w:rPr>
        <w:t>满足多酶清洗剂</w:t>
      </w:r>
      <w:proofErr w:type="gramEnd"/>
      <w:r>
        <w:rPr>
          <w:rFonts w:ascii="宋体" w:hAnsi="宋体" w:hint="eastAsia"/>
          <w:sz w:val="24"/>
        </w:rPr>
        <w:t>对清洗介质温度的需求，并可对清洗温度进行调节。</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5. ▲能镶嵌入达芬奇机器人复用器械清洗池中，可与清洗槽结为一体，节省空间。</w:t>
      </w:r>
    </w:p>
    <w:p w:rsidR="00C2360B" w:rsidRDefault="00C2360B" w:rsidP="00C2360B">
      <w:pPr>
        <w:ind w:firstLineChars="200" w:firstLine="480"/>
        <w:rPr>
          <w:rFonts w:ascii="宋体" w:hAnsi="宋体" w:hint="eastAsia"/>
          <w:sz w:val="24"/>
        </w:rPr>
      </w:pPr>
      <w:r>
        <w:rPr>
          <w:rFonts w:ascii="宋体" w:hAnsi="宋体" w:hint="eastAsia"/>
          <w:sz w:val="24"/>
        </w:rPr>
        <w:t>6.免费上门安装调试，所有工程改造费用由厂家承担。</w:t>
      </w:r>
    </w:p>
    <w:p w:rsidR="00C2360B" w:rsidRDefault="00C2360B" w:rsidP="00C2360B">
      <w:pPr>
        <w:ind w:firstLineChars="200" w:firstLine="480"/>
        <w:rPr>
          <w:rFonts w:ascii="宋体" w:hAnsi="宋体" w:hint="eastAsia"/>
          <w:sz w:val="24"/>
        </w:rPr>
      </w:pPr>
    </w:p>
    <w:p w:rsidR="00C2360B" w:rsidRDefault="00C2360B" w:rsidP="00C2360B">
      <w:pPr>
        <w:ind w:firstLineChars="200" w:firstLine="482"/>
        <w:rPr>
          <w:rFonts w:ascii="宋体" w:hAnsi="宋体" w:hint="eastAsia"/>
          <w:b/>
          <w:sz w:val="24"/>
        </w:rPr>
      </w:pPr>
      <w:r>
        <w:rPr>
          <w:rFonts w:ascii="宋体" w:hAnsi="宋体" w:hint="eastAsia"/>
          <w:b/>
          <w:sz w:val="24"/>
        </w:rPr>
        <w:t>设备二：</w:t>
      </w:r>
      <w:r>
        <w:rPr>
          <w:rFonts w:hint="eastAsia"/>
          <w:b/>
          <w:sz w:val="24"/>
        </w:rPr>
        <w:t>器械清洗工作站</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1. ▲能</w:t>
      </w:r>
      <w:proofErr w:type="gramStart"/>
      <w:r>
        <w:rPr>
          <w:rFonts w:ascii="宋体" w:hAnsi="宋体" w:hint="eastAsia"/>
          <w:sz w:val="24"/>
        </w:rPr>
        <w:t>满足达</w:t>
      </w:r>
      <w:proofErr w:type="gramEnd"/>
      <w:r>
        <w:rPr>
          <w:rFonts w:ascii="宋体" w:hAnsi="宋体" w:hint="eastAsia"/>
          <w:sz w:val="24"/>
        </w:rPr>
        <w:t>芬奇机器人手术器械长度的清洗消毒使用需求，</w:t>
      </w:r>
      <w:proofErr w:type="gramStart"/>
      <w:r>
        <w:rPr>
          <w:rFonts w:ascii="宋体" w:hAnsi="宋体" w:hint="eastAsia"/>
          <w:sz w:val="24"/>
        </w:rPr>
        <w:t>清洗达</w:t>
      </w:r>
      <w:proofErr w:type="gramEnd"/>
      <w:r>
        <w:rPr>
          <w:rFonts w:ascii="宋体" w:hAnsi="宋体" w:hint="eastAsia"/>
          <w:sz w:val="24"/>
        </w:rPr>
        <w:t>芬奇机器人器械长度要求槽内直线尺寸大于长0.75m×宽0.44m×深0.22m 的尺寸要</w:t>
      </w:r>
      <w:r>
        <w:rPr>
          <w:rFonts w:ascii="宋体" w:hAnsi="宋体" w:hint="eastAsia"/>
          <w:sz w:val="24"/>
        </w:rPr>
        <w:lastRenderedPageBreak/>
        <w:t>求。台面、洗消槽、干燥台、功能背板统一采用高分子复合材料吸塑成型。</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2. 能满足软式内镜清洗消毒的使用需求，每个清洗槽必须带自动灌流器，注液接头尺寸：外径8.2mm±0.1mm，内径3.4mm±0.1mm;注液水压及流量：水压0.36MPa±0.02Mpa，流量1500ML/min±150ML/min；注液气压及流量：气压≯0.165MPa，吸引流量1500ML/min±10% 。</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3.清洗工作站有符合卫生部WS507-2016内镜清洗消毒技术规范的操作流程，具有四个独立的清洗池，内径横向尺寸不小于750mm ，至少一个清洗池可内嵌入适用于达芬奇机器专用的变频超声清洗机。</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4. ▲配套内镜清洗消毒追溯管理系统，追溯管理系统的追溯数据</w:t>
      </w:r>
      <w:proofErr w:type="gramStart"/>
      <w:r>
        <w:rPr>
          <w:rFonts w:ascii="宋体" w:hAnsi="宋体" w:hint="eastAsia"/>
          <w:sz w:val="24"/>
        </w:rPr>
        <w:t>要从灌流面</w:t>
      </w:r>
      <w:proofErr w:type="gramEnd"/>
      <w:r>
        <w:rPr>
          <w:rFonts w:ascii="宋体" w:hAnsi="宋体" w:hint="eastAsia"/>
          <w:sz w:val="24"/>
        </w:rPr>
        <w:t>板直接获取清洗时间进行记录，所产生的清洗数据真实、准确，对于内镜清洗管控的追溯更准确，不会出现间隔空白期，可以准确的追溯到每个步骤的时间，完全实现清洗消毒的全程追溯。</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5. ▲内镜清洗消毒追溯管理系统应与现有追溯系统进行对接，内镜使用可与病人进行系统关联和全流程追溯，保证病人安全。</w:t>
      </w:r>
    </w:p>
    <w:p w:rsidR="00C2360B" w:rsidRDefault="00C2360B" w:rsidP="00C2360B">
      <w:pPr>
        <w:spacing w:line="276" w:lineRule="auto"/>
        <w:rPr>
          <w:rFonts w:ascii="宋体" w:hAnsi="宋体" w:hint="eastAsia"/>
          <w:sz w:val="24"/>
        </w:rPr>
      </w:pPr>
      <w:r>
        <w:rPr>
          <w:rFonts w:ascii="宋体" w:hAnsi="宋体" w:hint="eastAsia"/>
          <w:sz w:val="24"/>
        </w:rPr>
        <w:t xml:space="preserve">    6.要求配备内镜侧漏系统，侧漏系统采用全中文显示屏，触摸按键，运行时间与压力显示可选，测试时间30s～240s ，测试压差0kPa～5kPa 。</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7. ▲工作站须</w:t>
      </w:r>
      <w:proofErr w:type="gramStart"/>
      <w:r>
        <w:rPr>
          <w:rFonts w:ascii="宋体" w:hAnsi="宋体" w:hint="eastAsia"/>
          <w:sz w:val="24"/>
        </w:rPr>
        <w:t>配备酶液自动</w:t>
      </w:r>
      <w:proofErr w:type="gramEnd"/>
      <w:r>
        <w:rPr>
          <w:rFonts w:ascii="宋体" w:hAnsi="宋体" w:hint="eastAsia"/>
          <w:sz w:val="24"/>
        </w:rPr>
        <w:t>配比系统，自动按照设定比例</w:t>
      </w:r>
      <w:proofErr w:type="gramStart"/>
      <w:r>
        <w:rPr>
          <w:rFonts w:ascii="宋体" w:hAnsi="宋体" w:hint="eastAsia"/>
          <w:sz w:val="24"/>
        </w:rPr>
        <w:t>进行酶液和</w:t>
      </w:r>
      <w:proofErr w:type="gramEnd"/>
      <w:r>
        <w:rPr>
          <w:rFonts w:ascii="宋体" w:hAnsi="宋体" w:hint="eastAsia"/>
          <w:sz w:val="24"/>
        </w:rPr>
        <w:t>水的配比，</w:t>
      </w:r>
      <w:proofErr w:type="gramStart"/>
      <w:r>
        <w:rPr>
          <w:rFonts w:ascii="宋体" w:hAnsi="宋体" w:hint="eastAsia"/>
          <w:sz w:val="24"/>
        </w:rPr>
        <w:t>酶液配比</w:t>
      </w:r>
      <w:proofErr w:type="gramEnd"/>
      <w:r>
        <w:rPr>
          <w:rFonts w:ascii="宋体" w:hAnsi="宋体" w:hint="eastAsia"/>
          <w:sz w:val="24"/>
        </w:rPr>
        <w:t>比例可调。</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8.配备2个电动自动开关盖功能，触碰式开关，防止交叉感染。</w:t>
      </w:r>
    </w:p>
    <w:p w:rsidR="00C2360B" w:rsidRDefault="00C2360B" w:rsidP="00C2360B">
      <w:pPr>
        <w:spacing w:line="276" w:lineRule="auto"/>
        <w:ind w:firstLineChars="200" w:firstLine="480"/>
        <w:rPr>
          <w:rFonts w:ascii="宋体" w:hAnsi="宋体" w:hint="eastAsia"/>
          <w:sz w:val="24"/>
        </w:rPr>
      </w:pPr>
      <w:r>
        <w:rPr>
          <w:rFonts w:ascii="宋体" w:hAnsi="宋体" w:hint="eastAsia"/>
          <w:sz w:val="24"/>
        </w:rPr>
        <w:t>9.配置要求：大清洗槽4个，自动灌流器4个，快速接头4个，水枪和</w:t>
      </w:r>
      <w:proofErr w:type="gramStart"/>
      <w:r>
        <w:rPr>
          <w:rFonts w:ascii="宋体" w:hAnsi="宋体" w:hint="eastAsia"/>
          <w:sz w:val="24"/>
        </w:rPr>
        <w:t>汽枪</w:t>
      </w:r>
      <w:proofErr w:type="gramEnd"/>
      <w:r>
        <w:rPr>
          <w:rFonts w:ascii="宋体" w:hAnsi="宋体" w:hint="eastAsia"/>
          <w:sz w:val="24"/>
        </w:rPr>
        <w:t>5把，折叠式不锈钢水龙2个，</w:t>
      </w:r>
      <w:proofErr w:type="gramStart"/>
      <w:r>
        <w:rPr>
          <w:rFonts w:ascii="宋体" w:hAnsi="宋体" w:hint="eastAsia"/>
          <w:sz w:val="24"/>
        </w:rPr>
        <w:t>干燥台</w:t>
      </w:r>
      <w:proofErr w:type="gramEnd"/>
      <w:r>
        <w:rPr>
          <w:rFonts w:ascii="宋体" w:hAnsi="宋体" w:hint="eastAsia"/>
          <w:sz w:val="24"/>
        </w:rPr>
        <w:t>1个，进水电子控制器1个，下水电子控制阀开关1个，附件存放篮筐1个，</w:t>
      </w:r>
    </w:p>
    <w:p w:rsidR="00C2360B" w:rsidRDefault="00C2360B" w:rsidP="00C2360B">
      <w:pPr>
        <w:spacing w:line="276" w:lineRule="auto"/>
        <w:rPr>
          <w:rFonts w:ascii="宋体" w:hAnsi="宋体" w:hint="eastAsia"/>
          <w:sz w:val="24"/>
        </w:rPr>
      </w:pPr>
      <w:r>
        <w:rPr>
          <w:rFonts w:ascii="宋体" w:hAnsi="宋体" w:hint="eastAsia"/>
          <w:sz w:val="24"/>
        </w:rPr>
        <w:t xml:space="preserve">     10. ▲初洗池和</w:t>
      </w:r>
      <w:proofErr w:type="gramStart"/>
      <w:r>
        <w:rPr>
          <w:rFonts w:ascii="宋体" w:hAnsi="宋体" w:hint="eastAsia"/>
          <w:sz w:val="24"/>
        </w:rPr>
        <w:t>干燥台</w:t>
      </w:r>
      <w:proofErr w:type="gramEnd"/>
      <w:r>
        <w:rPr>
          <w:rFonts w:ascii="宋体" w:hAnsi="宋体" w:hint="eastAsia"/>
          <w:sz w:val="24"/>
        </w:rPr>
        <w:t>需要配置一体化可自动升降的防护罩，防止气溶胶污染周围环境。</w:t>
      </w:r>
    </w:p>
    <w:p w:rsidR="00C2360B" w:rsidRDefault="00C2360B" w:rsidP="00C2360B">
      <w:pPr>
        <w:ind w:firstLineChars="200" w:firstLine="480"/>
        <w:rPr>
          <w:rFonts w:ascii="宋体" w:hAnsi="宋体" w:hint="eastAsia"/>
          <w:sz w:val="24"/>
        </w:rPr>
      </w:pPr>
      <w:r>
        <w:rPr>
          <w:rFonts w:ascii="宋体" w:hAnsi="宋体" w:hint="eastAsia"/>
          <w:sz w:val="24"/>
        </w:rPr>
        <w:t>11.免费上门安装调试，所有工程改造费用由厂家承担。</w:t>
      </w:r>
    </w:p>
    <w:p w:rsidR="00C2360B" w:rsidRDefault="00C2360B" w:rsidP="00C2360B">
      <w:pPr>
        <w:ind w:firstLineChars="200" w:firstLine="480"/>
        <w:rPr>
          <w:rFonts w:ascii="宋体" w:hAnsi="宋体" w:hint="eastAsia"/>
          <w:sz w:val="24"/>
        </w:rPr>
      </w:pPr>
    </w:p>
    <w:p w:rsidR="00C2360B" w:rsidRDefault="00C2360B" w:rsidP="00C2360B">
      <w:pPr>
        <w:spacing w:line="276" w:lineRule="auto"/>
        <w:jc w:val="left"/>
        <w:rPr>
          <w:rFonts w:ascii="宋体" w:hAnsi="宋体" w:hint="eastAsia"/>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start w:val="1"/>
      <w:numFmt w:val="lowerLetter"/>
      <w:lvlText w:val="%2)"/>
      <w:lvlJc w:val="left"/>
      <w:pPr>
        <w:ind w:left="1081" w:hanging="420"/>
      </w:pPr>
    </w:lvl>
    <w:lvl w:ilvl="2" w:tplc="0409001B">
      <w:start w:val="1"/>
      <w:numFmt w:val="lowerRoman"/>
      <w:lvlText w:val="%3."/>
      <w:lvlJc w:val="right"/>
      <w:pPr>
        <w:ind w:left="1501" w:hanging="420"/>
      </w:pPr>
    </w:lvl>
    <w:lvl w:ilvl="3" w:tplc="0409000F">
      <w:start w:val="1"/>
      <w:numFmt w:val="decimal"/>
      <w:lvlText w:val="%4."/>
      <w:lvlJc w:val="left"/>
      <w:pPr>
        <w:ind w:left="1921" w:hanging="420"/>
      </w:pPr>
    </w:lvl>
    <w:lvl w:ilvl="4" w:tplc="04090019">
      <w:start w:val="1"/>
      <w:numFmt w:val="lowerLetter"/>
      <w:lvlText w:val="%5)"/>
      <w:lvlJc w:val="left"/>
      <w:pPr>
        <w:ind w:left="2341" w:hanging="420"/>
      </w:pPr>
    </w:lvl>
    <w:lvl w:ilvl="5" w:tplc="0409001B">
      <w:start w:val="1"/>
      <w:numFmt w:val="lowerRoman"/>
      <w:lvlText w:val="%6."/>
      <w:lvlJc w:val="right"/>
      <w:pPr>
        <w:ind w:left="2761" w:hanging="420"/>
      </w:pPr>
    </w:lvl>
    <w:lvl w:ilvl="6" w:tplc="0409000F">
      <w:start w:val="1"/>
      <w:numFmt w:val="decimal"/>
      <w:lvlText w:val="%7."/>
      <w:lvlJc w:val="left"/>
      <w:pPr>
        <w:ind w:left="3181" w:hanging="420"/>
      </w:pPr>
    </w:lvl>
    <w:lvl w:ilvl="7" w:tplc="04090019">
      <w:start w:val="1"/>
      <w:numFmt w:val="lowerLetter"/>
      <w:lvlText w:val="%8)"/>
      <w:lvlJc w:val="left"/>
      <w:pPr>
        <w:ind w:left="3601" w:hanging="420"/>
      </w:pPr>
    </w:lvl>
    <w:lvl w:ilvl="8" w:tplc="0409001B">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6C"/>
    <w:rsid w:val="0036176C"/>
    <w:rsid w:val="00C2360B"/>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0B"/>
    <w:pPr>
      <w:widowControl w:val="0"/>
      <w:jc w:val="both"/>
    </w:pPr>
    <w:rPr>
      <w:rFonts w:ascii="Times New Roman" w:eastAsia="宋体" w:hAnsi="Times New Roman" w:cs="Times New Roman"/>
      <w:sz w:val="28"/>
      <w:szCs w:val="24"/>
    </w:rPr>
  </w:style>
  <w:style w:type="paragraph" w:styleId="2">
    <w:name w:val="heading 2"/>
    <w:basedOn w:val="a"/>
    <w:next w:val="a"/>
    <w:link w:val="2Char"/>
    <w:semiHidden/>
    <w:unhideWhenUsed/>
    <w:qFormat/>
    <w:rsid w:val="00C2360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semiHidden/>
    <w:unhideWhenUsed/>
    <w:qFormat/>
    <w:rsid w:val="00C2360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C2360B"/>
    <w:rPr>
      <w:rFonts w:ascii="Arial" w:eastAsia="仿宋_GB2312" w:hAnsi="Arial" w:cs="Times New Roman"/>
      <w:b/>
      <w:bCs/>
      <w:sz w:val="28"/>
      <w:szCs w:val="32"/>
    </w:rPr>
  </w:style>
  <w:style w:type="character" w:customStyle="1" w:styleId="3Char">
    <w:name w:val="标题 3 Char"/>
    <w:basedOn w:val="a0"/>
    <w:link w:val="3"/>
    <w:semiHidden/>
    <w:qFormat/>
    <w:rsid w:val="00C2360B"/>
    <w:rPr>
      <w:rFonts w:ascii="Times New Roman" w:eastAsia="仿宋_GB2312" w:hAnsi="Times New Roman" w:cs="Times New Roman"/>
      <w:b/>
      <w:bCs/>
      <w:sz w:val="28"/>
      <w:szCs w:val="32"/>
    </w:rPr>
  </w:style>
  <w:style w:type="paragraph" w:styleId="a3">
    <w:name w:val="List Paragraph"/>
    <w:basedOn w:val="a"/>
    <w:uiPriority w:val="99"/>
    <w:qFormat/>
    <w:rsid w:val="00C236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0B"/>
    <w:pPr>
      <w:widowControl w:val="0"/>
      <w:jc w:val="both"/>
    </w:pPr>
    <w:rPr>
      <w:rFonts w:ascii="Times New Roman" w:eastAsia="宋体" w:hAnsi="Times New Roman" w:cs="Times New Roman"/>
      <w:sz w:val="28"/>
      <w:szCs w:val="24"/>
    </w:rPr>
  </w:style>
  <w:style w:type="paragraph" w:styleId="2">
    <w:name w:val="heading 2"/>
    <w:basedOn w:val="a"/>
    <w:next w:val="a"/>
    <w:link w:val="2Char"/>
    <w:semiHidden/>
    <w:unhideWhenUsed/>
    <w:qFormat/>
    <w:rsid w:val="00C2360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semiHidden/>
    <w:unhideWhenUsed/>
    <w:qFormat/>
    <w:rsid w:val="00C2360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C2360B"/>
    <w:rPr>
      <w:rFonts w:ascii="Arial" w:eastAsia="仿宋_GB2312" w:hAnsi="Arial" w:cs="Times New Roman"/>
      <w:b/>
      <w:bCs/>
      <w:sz w:val="28"/>
      <w:szCs w:val="32"/>
    </w:rPr>
  </w:style>
  <w:style w:type="character" w:customStyle="1" w:styleId="3Char">
    <w:name w:val="标题 3 Char"/>
    <w:basedOn w:val="a0"/>
    <w:link w:val="3"/>
    <w:semiHidden/>
    <w:qFormat/>
    <w:rsid w:val="00C2360B"/>
    <w:rPr>
      <w:rFonts w:ascii="Times New Roman" w:eastAsia="仿宋_GB2312" w:hAnsi="Times New Roman" w:cs="Times New Roman"/>
      <w:b/>
      <w:bCs/>
      <w:sz w:val="28"/>
      <w:szCs w:val="32"/>
    </w:rPr>
  </w:style>
  <w:style w:type="paragraph" w:styleId="a3">
    <w:name w:val="List Paragraph"/>
    <w:basedOn w:val="a"/>
    <w:uiPriority w:val="99"/>
    <w:qFormat/>
    <w:rsid w:val="00C236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2020-12-15T09:19:00Z</dcterms:created>
  <dcterms:modified xsi:type="dcterms:W3CDTF">2020-12-15T09:20:00Z</dcterms:modified>
</cp:coreProperties>
</file>