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1F" w:rsidRPr="00C45FE6" w:rsidRDefault="00BA511F" w:rsidP="00BA511F">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BA511F" w:rsidRPr="008E2C68" w:rsidRDefault="00BA511F" w:rsidP="00BA511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BA511F" w:rsidTr="00BA511F">
        <w:trPr>
          <w:trHeight w:val="456"/>
          <w:jc w:val="center"/>
        </w:trPr>
        <w:tc>
          <w:tcPr>
            <w:tcW w:w="925" w:type="pct"/>
            <w:vAlign w:val="center"/>
          </w:tcPr>
          <w:p w:rsidR="00BA511F" w:rsidRDefault="00BA511F" w:rsidP="00F162F8">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BA511F" w:rsidRDefault="00BA511F" w:rsidP="00F162F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BA511F" w:rsidRDefault="00BA511F" w:rsidP="00F162F8">
            <w:pPr>
              <w:spacing w:line="276" w:lineRule="auto"/>
              <w:jc w:val="center"/>
              <w:rPr>
                <w:rFonts w:ascii="宋体" w:hAnsi="宋体"/>
                <w:b/>
                <w:bCs/>
                <w:sz w:val="24"/>
              </w:rPr>
            </w:pPr>
            <w:r>
              <w:rPr>
                <w:rFonts w:ascii="宋体" w:hAnsi="宋体" w:hint="eastAsia"/>
                <w:b/>
                <w:bCs/>
                <w:sz w:val="24"/>
              </w:rPr>
              <w:t>数量</w:t>
            </w:r>
          </w:p>
        </w:tc>
        <w:bookmarkStart w:id="0" w:name="_GoBack"/>
        <w:bookmarkEnd w:id="0"/>
      </w:tr>
      <w:tr w:rsidR="00BA511F" w:rsidTr="00BA511F">
        <w:trPr>
          <w:trHeight w:val="822"/>
          <w:jc w:val="center"/>
        </w:trPr>
        <w:tc>
          <w:tcPr>
            <w:tcW w:w="925" w:type="pct"/>
            <w:vAlign w:val="center"/>
          </w:tcPr>
          <w:p w:rsidR="00BA511F" w:rsidRPr="004441E4" w:rsidRDefault="00BA511F" w:rsidP="00F162F8">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BA511F" w:rsidRPr="004441E4" w:rsidRDefault="00BA511F" w:rsidP="00F162F8">
            <w:pPr>
              <w:jc w:val="center"/>
              <w:rPr>
                <w:sz w:val="24"/>
              </w:rPr>
            </w:pPr>
            <w:r w:rsidRPr="004D06B9">
              <w:rPr>
                <w:rFonts w:hint="eastAsia"/>
                <w:b/>
                <w:kern w:val="0"/>
                <w:sz w:val="24"/>
                <w:lang w:val="zh-CN"/>
              </w:rPr>
              <w:t>日常生活活动训练系统</w:t>
            </w:r>
          </w:p>
        </w:tc>
        <w:tc>
          <w:tcPr>
            <w:tcW w:w="1207" w:type="pct"/>
            <w:vAlign w:val="center"/>
          </w:tcPr>
          <w:p w:rsidR="00BA511F" w:rsidRPr="004441E4" w:rsidRDefault="00BA511F" w:rsidP="00F162F8">
            <w:pPr>
              <w:jc w:val="center"/>
              <w:rPr>
                <w:sz w:val="24"/>
              </w:rPr>
            </w:pPr>
            <w:r>
              <w:rPr>
                <w:rFonts w:hint="eastAsia"/>
                <w:sz w:val="24"/>
              </w:rPr>
              <w:t xml:space="preserve">1 </w:t>
            </w:r>
          </w:p>
        </w:tc>
      </w:tr>
    </w:tbl>
    <w:p w:rsidR="00BA511F" w:rsidRDefault="00BA511F" w:rsidP="00BA511F">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BA511F" w:rsidRDefault="00BA511F" w:rsidP="00BA511F">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BA511F" w:rsidRDefault="00BA511F" w:rsidP="00BA511F">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BA511F" w:rsidRDefault="00BA511F" w:rsidP="00BA511F">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BA511F" w:rsidRDefault="00BA511F" w:rsidP="00BA511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BA511F" w:rsidRDefault="00BA511F" w:rsidP="00BA511F">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BA511F" w:rsidRPr="003F180F" w:rsidRDefault="00BA511F" w:rsidP="00BA511F">
      <w:pPr>
        <w:rPr>
          <w:rFonts w:ascii="宋体" w:hAnsi="宋体"/>
          <w:b/>
          <w:sz w:val="24"/>
        </w:rPr>
      </w:pPr>
      <w:r w:rsidRPr="003F180F">
        <w:rPr>
          <w:rFonts w:ascii="宋体" w:hAnsi="宋体" w:hint="eastAsia"/>
          <w:b/>
          <w:sz w:val="24"/>
        </w:rPr>
        <w:t>1、技术要求：</w:t>
      </w:r>
    </w:p>
    <w:p w:rsidR="00BA511F" w:rsidRPr="003F180F" w:rsidRDefault="00BA511F" w:rsidP="00BA511F">
      <w:pPr>
        <w:numPr>
          <w:ilvl w:val="0"/>
          <w:numId w:val="3"/>
        </w:numPr>
        <w:rPr>
          <w:rFonts w:ascii="宋体" w:hAnsi="宋体"/>
          <w:sz w:val="24"/>
        </w:rPr>
      </w:pPr>
      <w:r w:rsidRPr="003F180F">
        <w:rPr>
          <w:rFonts w:ascii="宋体" w:hAnsi="宋体" w:hint="eastAsia"/>
          <w:sz w:val="24"/>
        </w:rPr>
        <w:t>训练支架聚乙烯材料配合单手使用及双手使用</w:t>
      </w:r>
    </w:p>
    <w:p w:rsidR="00BA511F" w:rsidRPr="003F180F" w:rsidRDefault="00BA511F" w:rsidP="00BA511F">
      <w:pPr>
        <w:numPr>
          <w:ilvl w:val="0"/>
          <w:numId w:val="3"/>
        </w:numPr>
        <w:rPr>
          <w:rFonts w:ascii="宋体" w:hAnsi="宋体"/>
          <w:sz w:val="24"/>
        </w:rPr>
      </w:pPr>
      <w:r w:rsidRPr="003F180F">
        <w:rPr>
          <w:rFonts w:ascii="宋体" w:hAnsi="宋体" w:hint="eastAsia"/>
          <w:sz w:val="24"/>
        </w:rPr>
        <w:t>可以用于身体平面操作、直立操作；</w:t>
      </w:r>
    </w:p>
    <w:p w:rsidR="00BA511F" w:rsidRPr="003F180F" w:rsidRDefault="00BA511F" w:rsidP="00BA511F">
      <w:pPr>
        <w:numPr>
          <w:ilvl w:val="0"/>
          <w:numId w:val="3"/>
        </w:numPr>
        <w:rPr>
          <w:rFonts w:ascii="宋体" w:hAnsi="宋体"/>
          <w:sz w:val="24"/>
        </w:rPr>
      </w:pPr>
      <w:r w:rsidRPr="003F180F">
        <w:rPr>
          <w:rFonts w:ascii="宋体" w:hAnsi="宋体" w:hint="eastAsia"/>
          <w:sz w:val="24"/>
        </w:rPr>
        <w:t>训练内容包括日常生活活动、精选技巧活动、软连接活动、插入和抓取；</w:t>
      </w:r>
    </w:p>
    <w:p w:rsidR="00BA511F" w:rsidRPr="003F180F" w:rsidRDefault="00BA511F" w:rsidP="00BA511F">
      <w:pPr>
        <w:numPr>
          <w:ilvl w:val="0"/>
          <w:numId w:val="3"/>
        </w:numPr>
        <w:rPr>
          <w:rFonts w:ascii="宋体" w:hAnsi="宋体"/>
          <w:sz w:val="24"/>
        </w:rPr>
      </w:pPr>
      <w:r w:rsidRPr="003F180F">
        <w:rPr>
          <w:rFonts w:ascii="宋体" w:hAnsi="宋体" w:hint="eastAsia"/>
          <w:sz w:val="24"/>
        </w:rPr>
        <w:t>物体具备垂直、倾斜、平面三种训练方式；</w:t>
      </w:r>
    </w:p>
    <w:p w:rsidR="00BA511F" w:rsidRPr="003F180F" w:rsidRDefault="00BA511F" w:rsidP="00BA511F">
      <w:pPr>
        <w:numPr>
          <w:ilvl w:val="0"/>
          <w:numId w:val="3"/>
        </w:numPr>
        <w:rPr>
          <w:rFonts w:ascii="宋体" w:hAnsi="宋体"/>
          <w:sz w:val="24"/>
        </w:rPr>
      </w:pPr>
      <w:r w:rsidRPr="003F180F">
        <w:rPr>
          <w:rFonts w:ascii="宋体" w:hAnsi="宋体" w:hint="eastAsia"/>
          <w:sz w:val="24"/>
        </w:rPr>
        <w:t>▲整体模块操作，多项组合拆分；</w:t>
      </w:r>
    </w:p>
    <w:p w:rsidR="00BA511F" w:rsidRPr="003F180F" w:rsidRDefault="00BA511F" w:rsidP="00BA511F">
      <w:pPr>
        <w:numPr>
          <w:ilvl w:val="0"/>
          <w:numId w:val="3"/>
        </w:numPr>
        <w:rPr>
          <w:rFonts w:ascii="宋体" w:hAnsi="宋体"/>
          <w:sz w:val="24"/>
        </w:rPr>
      </w:pPr>
      <w:r w:rsidRPr="003F180F">
        <w:rPr>
          <w:rFonts w:ascii="宋体" w:hAnsi="宋体" w:hint="eastAsia"/>
          <w:sz w:val="24"/>
        </w:rPr>
        <w:t>可进行高度灵活性修正用于阶段训练；</w:t>
      </w:r>
    </w:p>
    <w:p w:rsidR="00BA511F" w:rsidRPr="003F180F" w:rsidRDefault="00BA511F" w:rsidP="00BA511F">
      <w:pPr>
        <w:numPr>
          <w:ilvl w:val="0"/>
          <w:numId w:val="3"/>
        </w:numPr>
        <w:rPr>
          <w:rFonts w:ascii="宋体" w:hAnsi="宋体"/>
          <w:sz w:val="24"/>
        </w:rPr>
      </w:pPr>
      <w:r w:rsidRPr="003F180F">
        <w:rPr>
          <w:rFonts w:ascii="宋体" w:hAnsi="宋体" w:hint="eastAsia"/>
          <w:sz w:val="24"/>
        </w:rPr>
        <w:t>坐卧位操作人体工学设计，角度可调；</w:t>
      </w:r>
    </w:p>
    <w:p w:rsidR="00BA511F" w:rsidRPr="003F180F" w:rsidRDefault="00BA511F" w:rsidP="00BA511F">
      <w:pPr>
        <w:numPr>
          <w:ilvl w:val="0"/>
          <w:numId w:val="3"/>
        </w:numPr>
        <w:rPr>
          <w:rFonts w:ascii="宋体" w:hAnsi="宋体"/>
          <w:sz w:val="24"/>
        </w:rPr>
      </w:pPr>
      <w:r w:rsidRPr="003F180F">
        <w:rPr>
          <w:rFonts w:ascii="宋体" w:hAnsi="宋体" w:hint="eastAsia"/>
          <w:sz w:val="24"/>
        </w:rPr>
        <w:t>可折叠支持面；</w:t>
      </w:r>
    </w:p>
    <w:p w:rsidR="00BA511F" w:rsidRPr="003F180F" w:rsidRDefault="00BA511F" w:rsidP="00BA511F">
      <w:pPr>
        <w:numPr>
          <w:ilvl w:val="0"/>
          <w:numId w:val="3"/>
        </w:numPr>
        <w:rPr>
          <w:rFonts w:ascii="宋体" w:hAnsi="宋体"/>
          <w:sz w:val="24"/>
        </w:rPr>
      </w:pPr>
      <w:r w:rsidRPr="003F180F">
        <w:rPr>
          <w:rFonts w:ascii="宋体" w:hAnsi="宋体" w:hint="eastAsia"/>
          <w:sz w:val="24"/>
        </w:rPr>
        <w:t>▲单元模块两个可进行</w:t>
      </w:r>
      <w:r>
        <w:rPr>
          <w:rFonts w:ascii="宋体" w:hAnsi="宋体" w:hint="eastAsia"/>
          <w:sz w:val="24"/>
        </w:rPr>
        <w:t>不少于</w:t>
      </w:r>
      <w:r w:rsidRPr="003F180F">
        <w:rPr>
          <w:rFonts w:ascii="宋体" w:hAnsi="宋体" w:hint="eastAsia"/>
          <w:sz w:val="24"/>
        </w:rPr>
        <w:t>八项不同项目训练涵盖电器支架工程轴向运动、折返运动、杠杆运动等；</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金属挂板，</w:t>
      </w:r>
      <w:proofErr w:type="gramStart"/>
      <w:r w:rsidRPr="003F180F">
        <w:rPr>
          <w:rFonts w:ascii="宋体" w:hAnsi="宋体" w:hint="eastAsia"/>
          <w:sz w:val="24"/>
        </w:rPr>
        <w:t>挂具上下</w:t>
      </w:r>
      <w:proofErr w:type="gramEnd"/>
      <w:r w:rsidRPr="003F180F">
        <w:rPr>
          <w:rFonts w:ascii="宋体" w:hAnsi="宋体" w:hint="eastAsia"/>
          <w:sz w:val="24"/>
        </w:rPr>
        <w:t>行程≥</w:t>
      </w:r>
      <w:r w:rsidRPr="003F180F">
        <w:rPr>
          <w:rFonts w:ascii="宋体" w:hAnsi="宋体"/>
          <w:sz w:val="24"/>
        </w:rPr>
        <w:t>140cm,</w:t>
      </w:r>
      <w:r w:rsidRPr="003F180F">
        <w:rPr>
          <w:rFonts w:ascii="宋体" w:hAnsi="宋体" w:hint="eastAsia"/>
          <w:sz w:val="24"/>
        </w:rPr>
        <w:t>包含带扣、抓握、穿孔等训练工具</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聚乙烯抗菌底座插板含两种以上不同密度插孔及线路底座，用具</w:t>
      </w:r>
      <w:proofErr w:type="gramStart"/>
      <w:r w:rsidRPr="003F180F">
        <w:rPr>
          <w:rFonts w:ascii="宋体" w:hAnsi="宋体" w:hint="eastAsia"/>
          <w:sz w:val="24"/>
        </w:rPr>
        <w:t>为棍式聚乙烯</w:t>
      </w:r>
      <w:proofErr w:type="gramEnd"/>
      <w:r w:rsidRPr="003F180F">
        <w:rPr>
          <w:rFonts w:ascii="宋体" w:hAnsi="宋体" w:hint="eastAsia"/>
          <w:sz w:val="24"/>
        </w:rPr>
        <w:t>、金属材料，磁性圆盘，两种以上不同直径球体及记录磁性可擦写圆盘；</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刚性聚乙烯魔术软管可自由折弯，创建不同的把握方式，配合立式挂板及基础膜具。</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蜗杆调节器具，水平螺旋、垂直螺旋、倾斜螺旋器具用于精细运动处理；</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指端柔性延展可进行单手五指的单独及共同训练，抓握可进行旋转训练，腕部进行有效支撑高度可调；</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肩部运动采用垂直手握工具，矩形长孔、圆形工具采用梯形孔；</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金属支架爬梯训练器可折叠，爬梯角度可调节；</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t>电器单元具有两种以上的插头用于配合不同底座；</w:t>
      </w:r>
    </w:p>
    <w:p w:rsidR="00BA511F" w:rsidRPr="003F180F" w:rsidRDefault="00BA511F" w:rsidP="00BA511F">
      <w:pPr>
        <w:pStyle w:val="a6"/>
        <w:numPr>
          <w:ilvl w:val="0"/>
          <w:numId w:val="3"/>
        </w:numPr>
        <w:ind w:firstLineChars="0"/>
        <w:rPr>
          <w:rFonts w:ascii="宋体" w:hAnsi="宋体"/>
          <w:sz w:val="24"/>
        </w:rPr>
      </w:pPr>
      <w:r w:rsidRPr="003F180F">
        <w:rPr>
          <w:rFonts w:ascii="宋体" w:hAnsi="宋体" w:hint="eastAsia"/>
          <w:sz w:val="24"/>
        </w:rPr>
        <w:lastRenderedPageBreak/>
        <w:t>弹力</w:t>
      </w:r>
      <w:proofErr w:type="gramStart"/>
      <w:r w:rsidRPr="003F180F">
        <w:rPr>
          <w:rFonts w:ascii="宋体" w:hAnsi="宋体" w:hint="eastAsia"/>
          <w:sz w:val="24"/>
        </w:rPr>
        <w:t>绳</w:t>
      </w:r>
      <w:proofErr w:type="gramEnd"/>
      <w:r w:rsidRPr="003F180F">
        <w:rPr>
          <w:rFonts w:ascii="宋体" w:hAnsi="宋体" w:hint="eastAsia"/>
          <w:sz w:val="24"/>
        </w:rPr>
        <w:t>拉力训练可与桩柱配合固定端口；</w:t>
      </w:r>
    </w:p>
    <w:p w:rsidR="00BA511F" w:rsidRDefault="00BA511F" w:rsidP="00BA511F">
      <w:pPr>
        <w:ind w:left="360" w:hangingChars="150" w:hanging="360"/>
        <w:rPr>
          <w:rFonts w:ascii="宋体" w:hAnsi="宋体"/>
          <w:sz w:val="24"/>
        </w:rPr>
      </w:pPr>
      <w:r>
        <w:rPr>
          <w:rFonts w:ascii="宋体" w:hAnsi="宋体" w:hint="eastAsia"/>
          <w:sz w:val="24"/>
        </w:rPr>
        <w:t>2、</w:t>
      </w:r>
      <w:r w:rsidRPr="003F180F">
        <w:rPr>
          <w:rFonts w:ascii="宋体" w:hAnsi="宋体" w:hint="eastAsia"/>
          <w:sz w:val="24"/>
        </w:rPr>
        <w:t>配置清单：</w:t>
      </w:r>
    </w:p>
    <w:tbl>
      <w:tblPr>
        <w:tblStyle w:val="a5"/>
        <w:tblW w:w="0" w:type="auto"/>
        <w:jc w:val="center"/>
        <w:tblInd w:w="360" w:type="dxa"/>
        <w:tblLook w:val="04A0" w:firstRow="1" w:lastRow="0" w:firstColumn="1" w:lastColumn="0" w:noHBand="0" w:noVBand="1"/>
      </w:tblPr>
      <w:tblGrid>
        <w:gridCol w:w="1075"/>
        <w:gridCol w:w="4343"/>
        <w:gridCol w:w="922"/>
      </w:tblGrid>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sz w:val="24"/>
              </w:rPr>
              <w:t>序号</w:t>
            </w:r>
          </w:p>
        </w:tc>
        <w:tc>
          <w:tcPr>
            <w:tcW w:w="4343" w:type="dxa"/>
            <w:vAlign w:val="center"/>
          </w:tcPr>
          <w:p w:rsidR="00BA511F" w:rsidRDefault="00BA511F" w:rsidP="00F162F8">
            <w:pPr>
              <w:jc w:val="center"/>
              <w:rPr>
                <w:rFonts w:ascii="宋体" w:hAnsi="宋体"/>
                <w:sz w:val="24"/>
              </w:rPr>
            </w:pPr>
            <w:r>
              <w:rPr>
                <w:rFonts w:ascii="宋体" w:hAnsi="宋体"/>
                <w:sz w:val="24"/>
              </w:rPr>
              <w:t>配置名称</w:t>
            </w:r>
          </w:p>
        </w:tc>
        <w:tc>
          <w:tcPr>
            <w:tcW w:w="922" w:type="dxa"/>
            <w:vAlign w:val="center"/>
          </w:tcPr>
          <w:p w:rsidR="00BA511F" w:rsidRDefault="00BA511F" w:rsidP="00F162F8">
            <w:pPr>
              <w:jc w:val="center"/>
              <w:rPr>
                <w:rFonts w:ascii="宋体" w:hAnsi="宋体"/>
                <w:sz w:val="24"/>
              </w:rPr>
            </w:pPr>
            <w:r>
              <w:rPr>
                <w:rFonts w:ascii="宋体" w:hAnsi="宋体"/>
                <w:sz w:val="24"/>
              </w:rPr>
              <w:t>数量</w:t>
            </w:r>
          </w:p>
        </w:tc>
      </w:tr>
      <w:tr w:rsidR="00BA511F" w:rsidTr="00F162F8">
        <w:trPr>
          <w:trHeight w:val="431"/>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2.1</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金属水平、垂直、倾斜环绕活动单元</w:t>
            </w:r>
          </w:p>
        </w:tc>
        <w:tc>
          <w:tcPr>
            <w:tcW w:w="922" w:type="dxa"/>
            <w:vAlign w:val="center"/>
          </w:tcPr>
          <w:p w:rsidR="00BA511F" w:rsidRDefault="00BA511F" w:rsidP="00F162F8">
            <w:pPr>
              <w:jc w:val="center"/>
              <w:rPr>
                <w:rFonts w:ascii="宋体" w:hAnsi="宋体"/>
                <w:sz w:val="24"/>
              </w:rPr>
            </w:pPr>
            <w:r w:rsidRPr="003F180F">
              <w:rPr>
                <w:rFonts w:ascii="宋体" w:hAnsi="宋体" w:hint="eastAsia"/>
                <w:sz w:val="24"/>
              </w:rPr>
              <w:t>各</w:t>
            </w:r>
            <w:r w:rsidRPr="003F180F">
              <w:rPr>
                <w:rFonts w:ascii="宋体" w:hAnsi="宋体"/>
                <w:sz w:val="24"/>
              </w:rPr>
              <w:t>1</w:t>
            </w:r>
            <w:r w:rsidRPr="003F180F">
              <w:rPr>
                <w:rFonts w:ascii="宋体" w:hAnsi="宋体" w:hint="eastAsia"/>
                <w:sz w:val="24"/>
              </w:rPr>
              <w:t>套</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2.2</w:t>
            </w:r>
          </w:p>
        </w:tc>
        <w:tc>
          <w:tcPr>
            <w:tcW w:w="4343" w:type="dxa"/>
            <w:vAlign w:val="center"/>
          </w:tcPr>
          <w:p w:rsidR="00BA511F" w:rsidRDefault="00BA511F" w:rsidP="00F162F8">
            <w:pPr>
              <w:ind w:left="142"/>
              <w:jc w:val="center"/>
              <w:rPr>
                <w:rFonts w:ascii="宋体" w:hAnsi="宋体"/>
                <w:sz w:val="24"/>
              </w:rPr>
            </w:pPr>
            <w:r w:rsidRPr="003F180F">
              <w:rPr>
                <w:rFonts w:ascii="宋体" w:hAnsi="宋体" w:hint="eastAsia"/>
                <w:sz w:val="24"/>
              </w:rPr>
              <w:t>基础工作站</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2</w:t>
            </w:r>
            <w:r w:rsidRPr="003F180F">
              <w:rPr>
                <w:rFonts w:ascii="宋体" w:hAnsi="宋体" w:hint="eastAsia"/>
                <w:sz w:val="24"/>
              </w:rPr>
              <w:t>套</w:t>
            </w:r>
          </w:p>
        </w:tc>
      </w:tr>
      <w:tr w:rsidR="00BA511F" w:rsidTr="00F162F8">
        <w:trPr>
          <w:trHeight w:val="382"/>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2.3</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移动工作站</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套</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2.4</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折叠桌</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张</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2.5</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环绕轨道基板</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个</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2.6</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孔板座</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2</w:t>
            </w:r>
            <w:r w:rsidRPr="003F180F">
              <w:rPr>
                <w:rFonts w:ascii="宋体" w:hAnsi="宋体" w:hint="eastAsia"/>
                <w:sz w:val="24"/>
              </w:rPr>
              <w:t>个</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2.7</w:t>
            </w:r>
          </w:p>
        </w:tc>
        <w:tc>
          <w:tcPr>
            <w:tcW w:w="4343" w:type="dxa"/>
            <w:vAlign w:val="center"/>
          </w:tcPr>
          <w:p w:rsidR="00BA511F" w:rsidRPr="003F180F" w:rsidRDefault="00BA511F" w:rsidP="00F162F8">
            <w:pPr>
              <w:jc w:val="center"/>
              <w:rPr>
                <w:rFonts w:ascii="宋体" w:hAnsi="宋体"/>
                <w:sz w:val="24"/>
              </w:rPr>
            </w:pPr>
            <w:r w:rsidRPr="003F180F">
              <w:rPr>
                <w:rFonts w:ascii="宋体" w:hAnsi="宋体" w:hint="eastAsia"/>
                <w:sz w:val="24"/>
              </w:rPr>
              <w:t>链接软管</w:t>
            </w:r>
          </w:p>
        </w:tc>
        <w:tc>
          <w:tcPr>
            <w:tcW w:w="922" w:type="dxa"/>
            <w:vAlign w:val="center"/>
          </w:tcPr>
          <w:p w:rsidR="00BA511F" w:rsidRPr="003F180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个</w:t>
            </w:r>
          </w:p>
        </w:tc>
      </w:tr>
      <w:tr w:rsidR="00BA511F" w:rsidTr="00F162F8">
        <w:trPr>
          <w:trHeight w:val="382"/>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2.8</w:t>
            </w:r>
          </w:p>
        </w:tc>
        <w:tc>
          <w:tcPr>
            <w:tcW w:w="4343" w:type="dxa"/>
            <w:vAlign w:val="center"/>
          </w:tcPr>
          <w:p w:rsidR="00BA511F" w:rsidRPr="003F180F" w:rsidRDefault="00BA511F" w:rsidP="00F162F8">
            <w:pPr>
              <w:jc w:val="center"/>
              <w:rPr>
                <w:rFonts w:ascii="宋体" w:hAnsi="宋体"/>
                <w:sz w:val="24"/>
              </w:rPr>
            </w:pPr>
            <w:r w:rsidRPr="003F180F">
              <w:rPr>
                <w:rFonts w:ascii="宋体" w:hAnsi="宋体" w:hint="eastAsia"/>
                <w:sz w:val="24"/>
              </w:rPr>
              <w:t>指训练器</w:t>
            </w:r>
          </w:p>
        </w:tc>
        <w:tc>
          <w:tcPr>
            <w:tcW w:w="922" w:type="dxa"/>
            <w:vAlign w:val="center"/>
          </w:tcPr>
          <w:p w:rsidR="00BA511F" w:rsidRPr="003F180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个</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2.9</w:t>
            </w:r>
          </w:p>
        </w:tc>
        <w:tc>
          <w:tcPr>
            <w:tcW w:w="4343" w:type="dxa"/>
            <w:vAlign w:val="center"/>
          </w:tcPr>
          <w:p w:rsidR="00BA511F" w:rsidRPr="003F180F" w:rsidRDefault="00BA511F" w:rsidP="00F162F8">
            <w:pPr>
              <w:jc w:val="center"/>
              <w:rPr>
                <w:rFonts w:ascii="宋体" w:hAnsi="宋体"/>
                <w:sz w:val="24"/>
              </w:rPr>
            </w:pPr>
            <w:r w:rsidRPr="003F180F">
              <w:rPr>
                <w:rFonts w:ascii="宋体" w:hAnsi="宋体" w:hint="eastAsia"/>
                <w:sz w:val="24"/>
              </w:rPr>
              <w:t>腕部训练器</w:t>
            </w:r>
          </w:p>
        </w:tc>
        <w:tc>
          <w:tcPr>
            <w:tcW w:w="922" w:type="dxa"/>
            <w:vAlign w:val="center"/>
          </w:tcPr>
          <w:p w:rsidR="00BA511F" w:rsidRPr="003F180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个</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2.10</w:t>
            </w:r>
          </w:p>
        </w:tc>
        <w:tc>
          <w:tcPr>
            <w:tcW w:w="4343" w:type="dxa"/>
            <w:vAlign w:val="center"/>
          </w:tcPr>
          <w:p w:rsidR="00BA511F" w:rsidRPr="003F180F" w:rsidRDefault="00BA511F" w:rsidP="00F162F8">
            <w:pPr>
              <w:jc w:val="center"/>
              <w:rPr>
                <w:rFonts w:ascii="宋体" w:hAnsi="宋体"/>
                <w:sz w:val="24"/>
              </w:rPr>
            </w:pPr>
            <w:r w:rsidRPr="003F180F">
              <w:rPr>
                <w:rFonts w:ascii="宋体" w:hAnsi="宋体" w:hint="eastAsia"/>
                <w:sz w:val="24"/>
              </w:rPr>
              <w:t>圆形、矩形肩部训练器</w:t>
            </w:r>
          </w:p>
        </w:tc>
        <w:tc>
          <w:tcPr>
            <w:tcW w:w="922" w:type="dxa"/>
            <w:vAlign w:val="center"/>
          </w:tcPr>
          <w:p w:rsidR="00BA511F" w:rsidRPr="003F180F" w:rsidRDefault="00BA511F" w:rsidP="00F162F8">
            <w:pPr>
              <w:jc w:val="center"/>
              <w:rPr>
                <w:rFonts w:ascii="宋体" w:hAnsi="宋体"/>
                <w:sz w:val="24"/>
              </w:rPr>
            </w:pPr>
            <w:r w:rsidRPr="003F180F">
              <w:rPr>
                <w:rFonts w:ascii="宋体" w:hAnsi="宋体" w:hint="eastAsia"/>
                <w:sz w:val="24"/>
              </w:rPr>
              <w:t>各</w:t>
            </w:r>
            <w:r w:rsidRPr="003F180F">
              <w:rPr>
                <w:rFonts w:ascii="宋体" w:hAnsi="宋体"/>
                <w:sz w:val="24"/>
              </w:rPr>
              <w:t>1</w:t>
            </w:r>
            <w:r w:rsidRPr="003F180F">
              <w:rPr>
                <w:rFonts w:ascii="宋体" w:hAnsi="宋体" w:hint="eastAsia"/>
                <w:sz w:val="24"/>
              </w:rPr>
              <w:t>个</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2.11</w:t>
            </w:r>
          </w:p>
        </w:tc>
        <w:tc>
          <w:tcPr>
            <w:tcW w:w="4343" w:type="dxa"/>
            <w:vAlign w:val="center"/>
          </w:tcPr>
          <w:p w:rsidR="00BA511F" w:rsidRPr="003F180F" w:rsidRDefault="00BA511F" w:rsidP="00F162F8">
            <w:pPr>
              <w:jc w:val="center"/>
              <w:rPr>
                <w:rFonts w:ascii="宋体" w:hAnsi="宋体"/>
                <w:sz w:val="24"/>
              </w:rPr>
            </w:pPr>
            <w:r w:rsidRPr="003F180F">
              <w:rPr>
                <w:rFonts w:ascii="宋体" w:hAnsi="宋体" w:hint="eastAsia"/>
                <w:sz w:val="24"/>
              </w:rPr>
              <w:t>爬梯及附件</w:t>
            </w:r>
          </w:p>
        </w:tc>
        <w:tc>
          <w:tcPr>
            <w:tcW w:w="922" w:type="dxa"/>
            <w:vAlign w:val="center"/>
          </w:tcPr>
          <w:p w:rsidR="00BA511F" w:rsidRPr="003F180F" w:rsidRDefault="00BA511F" w:rsidP="00F162F8">
            <w:pPr>
              <w:jc w:val="center"/>
              <w:rPr>
                <w:rFonts w:ascii="宋体" w:hAnsi="宋体"/>
                <w:sz w:val="24"/>
              </w:rPr>
            </w:pPr>
            <w:r w:rsidRPr="003F180F">
              <w:rPr>
                <w:rFonts w:ascii="宋体" w:hAnsi="宋体"/>
                <w:sz w:val="24"/>
              </w:rPr>
              <w:t>1</w:t>
            </w:r>
            <w:r w:rsidRPr="003F180F">
              <w:rPr>
                <w:rFonts w:ascii="宋体" w:hAnsi="宋体" w:hint="eastAsia"/>
                <w:sz w:val="24"/>
              </w:rPr>
              <w:t>组</w:t>
            </w:r>
          </w:p>
        </w:tc>
      </w:tr>
      <w:tr w:rsidR="00BA511F" w:rsidTr="00F162F8">
        <w:trPr>
          <w:trHeight w:val="396"/>
          <w:jc w:val="center"/>
        </w:trPr>
        <w:tc>
          <w:tcPr>
            <w:tcW w:w="1075" w:type="dxa"/>
            <w:vAlign w:val="center"/>
          </w:tcPr>
          <w:p w:rsidR="00BA511F" w:rsidRDefault="00BA511F" w:rsidP="00F162F8">
            <w:pPr>
              <w:jc w:val="center"/>
              <w:rPr>
                <w:rFonts w:ascii="宋体" w:hAnsi="宋体"/>
                <w:sz w:val="24"/>
              </w:rPr>
            </w:pPr>
            <w:r>
              <w:rPr>
                <w:rFonts w:ascii="宋体" w:hAnsi="宋体" w:hint="eastAsia"/>
                <w:sz w:val="24"/>
              </w:rPr>
              <w:t>2.12</w:t>
            </w:r>
          </w:p>
        </w:tc>
        <w:tc>
          <w:tcPr>
            <w:tcW w:w="4343" w:type="dxa"/>
            <w:vAlign w:val="center"/>
          </w:tcPr>
          <w:p w:rsidR="00BA511F" w:rsidRDefault="00BA511F" w:rsidP="00F162F8">
            <w:pPr>
              <w:jc w:val="center"/>
              <w:rPr>
                <w:rFonts w:ascii="宋体" w:hAnsi="宋体"/>
                <w:sz w:val="24"/>
              </w:rPr>
            </w:pPr>
            <w:r w:rsidRPr="003F180F">
              <w:rPr>
                <w:rFonts w:ascii="宋体" w:hAnsi="宋体" w:hint="eastAsia"/>
                <w:sz w:val="24"/>
              </w:rPr>
              <w:t>配合训练器材</w:t>
            </w:r>
          </w:p>
        </w:tc>
        <w:tc>
          <w:tcPr>
            <w:tcW w:w="922" w:type="dxa"/>
            <w:vAlign w:val="center"/>
          </w:tcPr>
          <w:p w:rsidR="00BA511F" w:rsidRDefault="00BA511F" w:rsidP="00F162F8">
            <w:pPr>
              <w:jc w:val="center"/>
              <w:rPr>
                <w:rFonts w:ascii="宋体" w:hAnsi="宋体"/>
                <w:sz w:val="24"/>
              </w:rPr>
            </w:pPr>
            <w:r w:rsidRPr="003F180F">
              <w:rPr>
                <w:rFonts w:ascii="宋体" w:hAnsi="宋体"/>
                <w:sz w:val="24"/>
              </w:rPr>
              <w:t>15</w:t>
            </w:r>
            <w:r w:rsidRPr="003F180F">
              <w:rPr>
                <w:rFonts w:ascii="宋体" w:hAnsi="宋体" w:hint="eastAsia"/>
                <w:sz w:val="24"/>
              </w:rPr>
              <w:t>组</w:t>
            </w:r>
          </w:p>
        </w:tc>
      </w:tr>
    </w:tbl>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1F" w:rsidRDefault="00BA511F" w:rsidP="00BA511F">
      <w:r>
        <w:separator/>
      </w:r>
    </w:p>
  </w:endnote>
  <w:endnote w:type="continuationSeparator" w:id="0">
    <w:p w:rsidR="00BA511F" w:rsidRDefault="00BA511F" w:rsidP="00B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1F" w:rsidRDefault="00BA511F" w:rsidP="00BA511F">
      <w:r>
        <w:separator/>
      </w:r>
    </w:p>
  </w:footnote>
  <w:footnote w:type="continuationSeparator" w:id="0">
    <w:p w:rsidR="00BA511F" w:rsidRDefault="00BA511F" w:rsidP="00BA5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64259E"/>
    <w:multiLevelType w:val="hybridMultilevel"/>
    <w:tmpl w:val="9BD0FE0E"/>
    <w:lvl w:ilvl="0" w:tplc="D15065A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26"/>
    <w:rsid w:val="007D4E26"/>
    <w:rsid w:val="00BA511F"/>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1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BA511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BA511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11F"/>
    <w:rPr>
      <w:sz w:val="18"/>
      <w:szCs w:val="18"/>
    </w:rPr>
  </w:style>
  <w:style w:type="paragraph" w:styleId="a4">
    <w:name w:val="footer"/>
    <w:basedOn w:val="a"/>
    <w:link w:val="Char0"/>
    <w:uiPriority w:val="99"/>
    <w:unhideWhenUsed/>
    <w:rsid w:val="00BA511F"/>
    <w:pPr>
      <w:tabs>
        <w:tab w:val="center" w:pos="4153"/>
        <w:tab w:val="right" w:pos="8306"/>
      </w:tabs>
      <w:snapToGrid w:val="0"/>
      <w:jc w:val="left"/>
    </w:pPr>
    <w:rPr>
      <w:sz w:val="18"/>
      <w:szCs w:val="18"/>
    </w:rPr>
  </w:style>
  <w:style w:type="character" w:customStyle="1" w:styleId="Char0">
    <w:name w:val="页脚 Char"/>
    <w:basedOn w:val="a0"/>
    <w:link w:val="a4"/>
    <w:uiPriority w:val="99"/>
    <w:rsid w:val="00BA511F"/>
    <w:rPr>
      <w:sz w:val="18"/>
      <w:szCs w:val="18"/>
    </w:rPr>
  </w:style>
  <w:style w:type="character" w:customStyle="1" w:styleId="2Char">
    <w:name w:val="标题 2 Char"/>
    <w:basedOn w:val="a0"/>
    <w:link w:val="2"/>
    <w:rsid w:val="00BA511F"/>
    <w:rPr>
      <w:rFonts w:ascii="Arial" w:eastAsia="仿宋_GB2312" w:hAnsi="Arial" w:cs="Times New Roman"/>
      <w:b/>
      <w:bCs/>
      <w:sz w:val="28"/>
      <w:szCs w:val="32"/>
    </w:rPr>
  </w:style>
  <w:style w:type="character" w:customStyle="1" w:styleId="3Char">
    <w:name w:val="标题 3 Char"/>
    <w:basedOn w:val="a0"/>
    <w:link w:val="3"/>
    <w:qFormat/>
    <w:rsid w:val="00BA511F"/>
    <w:rPr>
      <w:rFonts w:ascii="Times New Roman" w:eastAsia="仿宋_GB2312" w:hAnsi="Times New Roman" w:cs="Times New Roman"/>
      <w:b/>
      <w:bCs/>
      <w:sz w:val="28"/>
      <w:szCs w:val="32"/>
    </w:rPr>
  </w:style>
  <w:style w:type="table" w:styleId="a5">
    <w:name w:val="Table Grid"/>
    <w:basedOn w:val="a1"/>
    <w:uiPriority w:val="59"/>
    <w:rsid w:val="00BA511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51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1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BA511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BA511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11F"/>
    <w:rPr>
      <w:sz w:val="18"/>
      <w:szCs w:val="18"/>
    </w:rPr>
  </w:style>
  <w:style w:type="paragraph" w:styleId="a4">
    <w:name w:val="footer"/>
    <w:basedOn w:val="a"/>
    <w:link w:val="Char0"/>
    <w:uiPriority w:val="99"/>
    <w:unhideWhenUsed/>
    <w:rsid w:val="00BA511F"/>
    <w:pPr>
      <w:tabs>
        <w:tab w:val="center" w:pos="4153"/>
        <w:tab w:val="right" w:pos="8306"/>
      </w:tabs>
      <w:snapToGrid w:val="0"/>
      <w:jc w:val="left"/>
    </w:pPr>
    <w:rPr>
      <w:sz w:val="18"/>
      <w:szCs w:val="18"/>
    </w:rPr>
  </w:style>
  <w:style w:type="character" w:customStyle="1" w:styleId="Char0">
    <w:name w:val="页脚 Char"/>
    <w:basedOn w:val="a0"/>
    <w:link w:val="a4"/>
    <w:uiPriority w:val="99"/>
    <w:rsid w:val="00BA511F"/>
    <w:rPr>
      <w:sz w:val="18"/>
      <w:szCs w:val="18"/>
    </w:rPr>
  </w:style>
  <w:style w:type="character" w:customStyle="1" w:styleId="2Char">
    <w:name w:val="标题 2 Char"/>
    <w:basedOn w:val="a0"/>
    <w:link w:val="2"/>
    <w:rsid w:val="00BA511F"/>
    <w:rPr>
      <w:rFonts w:ascii="Arial" w:eastAsia="仿宋_GB2312" w:hAnsi="Arial" w:cs="Times New Roman"/>
      <w:b/>
      <w:bCs/>
      <w:sz w:val="28"/>
      <w:szCs w:val="32"/>
    </w:rPr>
  </w:style>
  <w:style w:type="character" w:customStyle="1" w:styleId="3Char">
    <w:name w:val="标题 3 Char"/>
    <w:basedOn w:val="a0"/>
    <w:link w:val="3"/>
    <w:qFormat/>
    <w:rsid w:val="00BA511F"/>
    <w:rPr>
      <w:rFonts w:ascii="Times New Roman" w:eastAsia="仿宋_GB2312" w:hAnsi="Times New Roman" w:cs="Times New Roman"/>
      <w:b/>
      <w:bCs/>
      <w:sz w:val="28"/>
      <w:szCs w:val="32"/>
    </w:rPr>
  </w:style>
  <w:style w:type="table" w:styleId="a5">
    <w:name w:val="Table Grid"/>
    <w:basedOn w:val="a1"/>
    <w:uiPriority w:val="59"/>
    <w:rsid w:val="00BA511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51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2021-08-13T01:45:00Z</dcterms:created>
  <dcterms:modified xsi:type="dcterms:W3CDTF">2021-08-13T01:45:00Z</dcterms:modified>
</cp:coreProperties>
</file>