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F55" w:rsidRPr="00C45FE6" w:rsidRDefault="00766F55" w:rsidP="00766F55">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766F55" w:rsidRPr="008E2C68" w:rsidRDefault="00766F55" w:rsidP="00766F55">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459"/>
        <w:gridCol w:w="1035"/>
      </w:tblGrid>
      <w:tr w:rsidR="00766F55" w:rsidTr="00766F55">
        <w:trPr>
          <w:trHeight w:val="456"/>
          <w:jc w:val="center"/>
        </w:trPr>
        <w:tc>
          <w:tcPr>
            <w:tcW w:w="926" w:type="pct"/>
            <w:vAlign w:val="center"/>
          </w:tcPr>
          <w:p w:rsidR="00766F55" w:rsidRDefault="00766F55" w:rsidP="00134A57">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766F55" w:rsidRDefault="00766F55" w:rsidP="00134A57">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766F55" w:rsidRDefault="00766F55" w:rsidP="00134A57">
            <w:pPr>
              <w:spacing w:line="276" w:lineRule="auto"/>
              <w:jc w:val="center"/>
              <w:rPr>
                <w:rFonts w:ascii="宋体" w:hAnsi="宋体"/>
                <w:b/>
                <w:bCs/>
                <w:sz w:val="24"/>
              </w:rPr>
            </w:pPr>
            <w:bookmarkStart w:id="0" w:name="_GoBack"/>
            <w:bookmarkEnd w:id="0"/>
            <w:r>
              <w:rPr>
                <w:rFonts w:ascii="宋体" w:hAnsi="宋体" w:hint="eastAsia"/>
                <w:b/>
                <w:bCs/>
                <w:sz w:val="24"/>
              </w:rPr>
              <w:t>数量</w:t>
            </w:r>
          </w:p>
        </w:tc>
      </w:tr>
      <w:tr w:rsidR="00766F55" w:rsidTr="00766F55">
        <w:trPr>
          <w:trHeight w:val="822"/>
          <w:jc w:val="center"/>
        </w:trPr>
        <w:tc>
          <w:tcPr>
            <w:tcW w:w="926" w:type="pct"/>
            <w:vAlign w:val="center"/>
          </w:tcPr>
          <w:p w:rsidR="00766F55" w:rsidRDefault="00766F55" w:rsidP="00134A57">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766F55" w:rsidRDefault="00766F55" w:rsidP="00134A57">
            <w:pPr>
              <w:jc w:val="center"/>
            </w:pPr>
            <w:r>
              <w:rPr>
                <w:rFonts w:hint="eastAsia"/>
                <w:b/>
                <w:sz w:val="24"/>
              </w:rPr>
              <w:t>电动担架车</w:t>
            </w:r>
          </w:p>
        </w:tc>
        <w:tc>
          <w:tcPr>
            <w:tcW w:w="1207" w:type="pct"/>
            <w:vAlign w:val="center"/>
          </w:tcPr>
          <w:p w:rsidR="00766F55" w:rsidRDefault="00766F55" w:rsidP="00134A57">
            <w:pPr>
              <w:jc w:val="center"/>
            </w:pPr>
            <w:r>
              <w:rPr>
                <w:rFonts w:hint="eastAsia"/>
              </w:rPr>
              <w:t>1</w:t>
            </w:r>
          </w:p>
        </w:tc>
      </w:tr>
    </w:tbl>
    <w:p w:rsidR="00766F55" w:rsidRDefault="00766F55" w:rsidP="00766F55">
      <w:pPr>
        <w:spacing w:beforeLines="50" w:before="156" w:line="276" w:lineRule="auto"/>
        <w:jc w:val="left"/>
        <w:rPr>
          <w:rFonts w:ascii="宋体" w:hAnsi="宋体"/>
          <w:color w:val="FF0000"/>
          <w:sz w:val="24"/>
        </w:rPr>
      </w:pPr>
      <w:r w:rsidRPr="00520092">
        <w:rPr>
          <w:rFonts w:ascii="宋体" w:hAnsi="宋体" w:hint="eastAsia"/>
          <w:color w:val="FF0000"/>
          <w:sz w:val="24"/>
        </w:rPr>
        <w:t>说明：</w:t>
      </w:r>
    </w:p>
    <w:p w:rsidR="00766F55" w:rsidRPr="00520092" w:rsidRDefault="00766F55" w:rsidP="00766F55">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766F55" w:rsidRDefault="00766F55" w:rsidP="00766F55">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766F55" w:rsidRPr="0054632F" w:rsidRDefault="00766F55" w:rsidP="00766F55">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766F55" w:rsidRDefault="00766F55" w:rsidP="00766F55">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766F55" w:rsidRDefault="00766F55" w:rsidP="00766F55">
      <w:pPr>
        <w:rPr>
          <w:rFonts w:asciiTheme="minorEastAsia" w:eastAsiaTheme="minorEastAsia" w:hAnsiTheme="minorEastAsia"/>
          <w:sz w:val="24"/>
        </w:rPr>
      </w:pPr>
      <w:r w:rsidRPr="00F307F0">
        <w:rPr>
          <w:rFonts w:ascii="宋体" w:hAnsi="宋体" w:hint="eastAsia"/>
          <w:b/>
          <w:color w:val="FF0000"/>
          <w:sz w:val="24"/>
        </w:rPr>
        <w:t>备注：提供原厂技术彩页，原厂技术彩页必须支持投标产品。</w:t>
      </w:r>
      <w:r w:rsidRPr="000F1CAE">
        <w:rPr>
          <w:rFonts w:asciiTheme="minorEastAsia" w:eastAsiaTheme="minorEastAsia" w:hAnsiTheme="minorEastAsia" w:hint="eastAsia"/>
          <w:sz w:val="24"/>
        </w:rPr>
        <w:tab/>
      </w:r>
    </w:p>
    <w:p w:rsidR="00766F55" w:rsidRPr="00972027" w:rsidRDefault="00766F55" w:rsidP="00766F55">
      <w:pPr>
        <w:rPr>
          <w:sz w:val="24"/>
        </w:rPr>
      </w:pPr>
      <w:r w:rsidRPr="00972027">
        <w:rPr>
          <w:rFonts w:hint="eastAsia"/>
          <w:sz w:val="24"/>
        </w:rPr>
        <w:t>1.</w:t>
      </w:r>
      <w:r w:rsidRPr="00972027">
        <w:rPr>
          <w:rFonts w:hint="eastAsia"/>
          <w:sz w:val="24"/>
        </w:rPr>
        <w:t>高位尺寸：</w:t>
      </w:r>
      <w:r>
        <w:rPr>
          <w:rFonts w:hint="eastAsia"/>
          <w:sz w:val="24"/>
        </w:rPr>
        <w:t>200</w:t>
      </w:r>
      <w:r w:rsidRPr="00972027">
        <w:rPr>
          <w:rFonts w:hint="eastAsia"/>
          <w:sz w:val="24"/>
        </w:rPr>
        <w:t>0*</w:t>
      </w:r>
      <w:r>
        <w:rPr>
          <w:rFonts w:hint="eastAsia"/>
          <w:sz w:val="24"/>
        </w:rPr>
        <w:t>600</w:t>
      </w:r>
      <w:r w:rsidRPr="00972027">
        <w:rPr>
          <w:rFonts w:hint="eastAsia"/>
          <w:sz w:val="24"/>
        </w:rPr>
        <w:t>*1</w:t>
      </w:r>
      <w:r>
        <w:rPr>
          <w:rFonts w:hint="eastAsia"/>
          <w:sz w:val="24"/>
        </w:rPr>
        <w:t>10</w:t>
      </w:r>
      <w:r w:rsidRPr="00972027">
        <w:rPr>
          <w:rFonts w:hint="eastAsia"/>
          <w:sz w:val="24"/>
        </w:rPr>
        <w:t>0</w:t>
      </w:r>
      <w:r>
        <w:rPr>
          <w:rFonts w:hint="eastAsia"/>
          <w:sz w:val="24"/>
        </w:rPr>
        <w:t>±</w:t>
      </w:r>
      <w:r>
        <w:rPr>
          <w:rFonts w:hint="eastAsia"/>
          <w:sz w:val="24"/>
        </w:rPr>
        <w:t>20</w:t>
      </w:r>
      <w:r w:rsidRPr="00972027">
        <w:rPr>
          <w:rFonts w:hint="eastAsia"/>
          <w:sz w:val="24"/>
        </w:rPr>
        <w:t>mm</w:t>
      </w:r>
    </w:p>
    <w:p w:rsidR="00766F55" w:rsidRPr="00972027" w:rsidRDefault="00766F55" w:rsidP="00766F55">
      <w:pPr>
        <w:rPr>
          <w:sz w:val="24"/>
        </w:rPr>
      </w:pPr>
      <w:r w:rsidRPr="00972027">
        <w:rPr>
          <w:rFonts w:hint="eastAsia"/>
          <w:sz w:val="24"/>
        </w:rPr>
        <w:t>2.</w:t>
      </w:r>
      <w:r w:rsidRPr="00972027">
        <w:rPr>
          <w:rFonts w:hint="eastAsia"/>
          <w:sz w:val="24"/>
        </w:rPr>
        <w:t>低位尺寸：</w:t>
      </w:r>
      <w:r w:rsidRPr="00972027">
        <w:rPr>
          <w:rFonts w:hint="eastAsia"/>
          <w:sz w:val="24"/>
        </w:rPr>
        <w:t xml:space="preserve"> </w:t>
      </w:r>
      <w:r>
        <w:rPr>
          <w:rFonts w:hint="eastAsia"/>
          <w:sz w:val="24"/>
        </w:rPr>
        <w:t>2000*600*350</w:t>
      </w:r>
      <w:r>
        <w:rPr>
          <w:rFonts w:hint="eastAsia"/>
          <w:sz w:val="24"/>
        </w:rPr>
        <w:t>±</w:t>
      </w:r>
      <w:r>
        <w:rPr>
          <w:rFonts w:hint="eastAsia"/>
          <w:sz w:val="24"/>
        </w:rPr>
        <w:t>20</w:t>
      </w:r>
      <w:r w:rsidRPr="00972027">
        <w:rPr>
          <w:rFonts w:hint="eastAsia"/>
          <w:sz w:val="24"/>
        </w:rPr>
        <w:t>mm</w:t>
      </w:r>
    </w:p>
    <w:p w:rsidR="00766F55" w:rsidRPr="00972027" w:rsidRDefault="00766F55" w:rsidP="00766F55">
      <w:pPr>
        <w:rPr>
          <w:sz w:val="24"/>
        </w:rPr>
      </w:pPr>
      <w:r w:rsidRPr="00972027">
        <w:rPr>
          <w:rFonts w:hint="eastAsia"/>
          <w:sz w:val="24"/>
        </w:rPr>
        <w:t>3.</w:t>
      </w:r>
      <w:r w:rsidRPr="00972027">
        <w:rPr>
          <w:rFonts w:hint="eastAsia"/>
          <w:sz w:val="24"/>
        </w:rPr>
        <w:t>车轮直径：</w:t>
      </w:r>
      <w:r w:rsidRPr="00972027">
        <w:rPr>
          <w:rFonts w:hint="eastAsia"/>
          <w:sz w:val="24"/>
        </w:rPr>
        <w:t>150mm</w:t>
      </w:r>
      <w:r>
        <w:rPr>
          <w:rFonts w:hint="eastAsia"/>
          <w:sz w:val="24"/>
        </w:rPr>
        <w:t>±</w:t>
      </w:r>
      <w:r>
        <w:rPr>
          <w:rFonts w:hint="eastAsia"/>
          <w:sz w:val="24"/>
        </w:rPr>
        <w:t>10</w:t>
      </w:r>
      <w:r w:rsidRPr="00972027">
        <w:rPr>
          <w:rFonts w:hint="eastAsia"/>
          <w:sz w:val="24"/>
        </w:rPr>
        <w:t>mm</w:t>
      </w:r>
    </w:p>
    <w:p w:rsidR="00766F55" w:rsidRPr="00972027" w:rsidRDefault="00766F55" w:rsidP="00766F55">
      <w:pPr>
        <w:rPr>
          <w:sz w:val="24"/>
        </w:rPr>
      </w:pPr>
      <w:r w:rsidRPr="00972027">
        <w:rPr>
          <w:rFonts w:hint="eastAsia"/>
          <w:sz w:val="24"/>
        </w:rPr>
        <w:t>4.</w:t>
      </w:r>
      <w:r>
        <w:rPr>
          <w:rFonts w:hint="eastAsia"/>
          <w:sz w:val="24"/>
        </w:rPr>
        <w:t>具备</w:t>
      </w:r>
      <w:r w:rsidRPr="00972027">
        <w:rPr>
          <w:rFonts w:hint="eastAsia"/>
          <w:sz w:val="24"/>
        </w:rPr>
        <w:t>车载充电和外接电源充电</w:t>
      </w:r>
    </w:p>
    <w:p w:rsidR="00766F55" w:rsidRPr="00972027" w:rsidRDefault="00766F55" w:rsidP="00766F55">
      <w:pPr>
        <w:rPr>
          <w:sz w:val="24"/>
        </w:rPr>
      </w:pPr>
      <w:r w:rsidRPr="00972027">
        <w:rPr>
          <w:rFonts w:hint="eastAsia"/>
          <w:sz w:val="24"/>
        </w:rPr>
        <w:t>4.</w:t>
      </w:r>
      <w:r>
        <w:rPr>
          <w:rFonts w:hint="eastAsia"/>
          <w:sz w:val="24"/>
        </w:rPr>
        <w:t>▲具备</w:t>
      </w:r>
      <w:r w:rsidRPr="00972027">
        <w:rPr>
          <w:rFonts w:hint="eastAsia"/>
          <w:sz w:val="24"/>
        </w:rPr>
        <w:t>手动泄压装置</w:t>
      </w:r>
    </w:p>
    <w:p w:rsidR="00766F55" w:rsidRPr="00972027" w:rsidRDefault="00766F55" w:rsidP="00766F55">
      <w:pPr>
        <w:rPr>
          <w:sz w:val="24"/>
        </w:rPr>
      </w:pPr>
      <w:r w:rsidRPr="00972027">
        <w:rPr>
          <w:rFonts w:hint="eastAsia"/>
          <w:sz w:val="24"/>
        </w:rPr>
        <w:t>5.</w:t>
      </w:r>
      <w:r w:rsidRPr="00972027">
        <w:rPr>
          <w:rFonts w:hint="eastAsia"/>
          <w:sz w:val="24"/>
        </w:rPr>
        <w:t>配有装载转运设备的面板</w:t>
      </w:r>
    </w:p>
    <w:p w:rsidR="00766F55" w:rsidRPr="00972027" w:rsidRDefault="00766F55" w:rsidP="00766F55">
      <w:pPr>
        <w:rPr>
          <w:sz w:val="24"/>
        </w:rPr>
      </w:pPr>
      <w:r w:rsidRPr="00972027">
        <w:rPr>
          <w:rFonts w:hint="eastAsia"/>
          <w:sz w:val="24"/>
        </w:rPr>
        <w:t>6.</w:t>
      </w:r>
      <w:r w:rsidRPr="00972027">
        <w:rPr>
          <w:rFonts w:hint="eastAsia"/>
          <w:sz w:val="24"/>
        </w:rPr>
        <w:t>最低承重</w:t>
      </w:r>
      <w:r w:rsidRPr="00972027">
        <w:rPr>
          <w:rFonts w:hint="eastAsia"/>
          <w:sz w:val="24"/>
        </w:rPr>
        <w:t>160kg,</w:t>
      </w:r>
      <w:r w:rsidRPr="00972027">
        <w:rPr>
          <w:rFonts w:hint="eastAsia"/>
          <w:sz w:val="24"/>
        </w:rPr>
        <w:t>自重</w:t>
      </w:r>
      <w:r w:rsidRPr="00972027">
        <w:rPr>
          <w:rFonts w:hint="eastAsia"/>
          <w:sz w:val="24"/>
        </w:rPr>
        <w:t>7</w:t>
      </w:r>
      <w:r>
        <w:rPr>
          <w:rFonts w:hint="eastAsia"/>
          <w:sz w:val="24"/>
        </w:rPr>
        <w:t>5</w:t>
      </w:r>
      <w:r w:rsidRPr="00972027">
        <w:rPr>
          <w:rFonts w:hint="eastAsia"/>
          <w:sz w:val="24"/>
        </w:rPr>
        <w:t>KG</w:t>
      </w:r>
      <w:r>
        <w:rPr>
          <w:rFonts w:hint="eastAsia"/>
          <w:sz w:val="24"/>
        </w:rPr>
        <w:t>±</w:t>
      </w:r>
      <w:r>
        <w:rPr>
          <w:rFonts w:hint="eastAsia"/>
          <w:sz w:val="24"/>
        </w:rPr>
        <w:t>1KG</w:t>
      </w:r>
    </w:p>
    <w:p w:rsidR="00766F55" w:rsidRPr="00972027" w:rsidRDefault="00766F55" w:rsidP="00766F55">
      <w:pPr>
        <w:rPr>
          <w:sz w:val="24"/>
        </w:rPr>
      </w:pPr>
      <w:r w:rsidRPr="00972027">
        <w:rPr>
          <w:rFonts w:hint="eastAsia"/>
          <w:sz w:val="24"/>
        </w:rPr>
        <w:t>7.</w:t>
      </w:r>
      <w:r w:rsidRPr="00972027">
        <w:rPr>
          <w:rFonts w:hint="eastAsia"/>
          <w:sz w:val="24"/>
        </w:rPr>
        <w:t>电力驱动升降，匀速升降，避免病患的二次伤害</w:t>
      </w:r>
      <w:r>
        <w:rPr>
          <w:rFonts w:hint="eastAsia"/>
          <w:sz w:val="24"/>
        </w:rPr>
        <w:t>，</w:t>
      </w:r>
      <w:r w:rsidRPr="00972027">
        <w:rPr>
          <w:rFonts w:hint="eastAsia"/>
          <w:sz w:val="24"/>
        </w:rPr>
        <w:t>在任意高度停留时</w:t>
      </w:r>
      <w:r>
        <w:rPr>
          <w:rFonts w:hint="eastAsia"/>
          <w:sz w:val="24"/>
        </w:rPr>
        <w:t>具有</w:t>
      </w:r>
      <w:r w:rsidRPr="00972027">
        <w:rPr>
          <w:rFonts w:hint="eastAsia"/>
          <w:sz w:val="24"/>
        </w:rPr>
        <w:t>缓冲减震，升降次数空载</w:t>
      </w:r>
      <w:r>
        <w:rPr>
          <w:rFonts w:hint="eastAsia"/>
          <w:sz w:val="24"/>
        </w:rPr>
        <w:t>≥</w:t>
      </w:r>
      <w:r w:rsidRPr="00972027">
        <w:rPr>
          <w:rFonts w:hint="eastAsia"/>
          <w:sz w:val="24"/>
        </w:rPr>
        <w:t>350</w:t>
      </w:r>
      <w:r w:rsidRPr="00972027">
        <w:rPr>
          <w:rFonts w:hint="eastAsia"/>
          <w:sz w:val="24"/>
        </w:rPr>
        <w:t>次，承载（</w:t>
      </w:r>
      <w:r w:rsidRPr="00972027">
        <w:rPr>
          <w:rFonts w:hint="eastAsia"/>
          <w:sz w:val="24"/>
        </w:rPr>
        <w:t>160KG</w:t>
      </w:r>
      <w:r w:rsidRPr="00972027">
        <w:rPr>
          <w:rFonts w:hint="eastAsia"/>
          <w:sz w:val="24"/>
        </w:rPr>
        <w:t>）</w:t>
      </w:r>
      <w:r>
        <w:rPr>
          <w:rFonts w:hint="eastAsia"/>
          <w:sz w:val="24"/>
        </w:rPr>
        <w:t>≥</w:t>
      </w:r>
      <w:r w:rsidRPr="00972027">
        <w:rPr>
          <w:rFonts w:hint="eastAsia"/>
          <w:sz w:val="24"/>
        </w:rPr>
        <w:t>100</w:t>
      </w:r>
      <w:r w:rsidRPr="00972027">
        <w:rPr>
          <w:rFonts w:hint="eastAsia"/>
          <w:sz w:val="24"/>
        </w:rPr>
        <w:t>次</w:t>
      </w:r>
    </w:p>
    <w:p w:rsidR="00766F55" w:rsidRPr="00972027" w:rsidRDefault="00766F55" w:rsidP="00766F55">
      <w:pPr>
        <w:rPr>
          <w:sz w:val="24"/>
        </w:rPr>
      </w:pPr>
      <w:r w:rsidRPr="00972027">
        <w:rPr>
          <w:rFonts w:hint="eastAsia"/>
          <w:sz w:val="24"/>
        </w:rPr>
        <w:t>8.</w:t>
      </w:r>
      <w:r w:rsidRPr="00972027">
        <w:rPr>
          <w:rFonts w:hint="eastAsia"/>
          <w:sz w:val="24"/>
        </w:rPr>
        <w:t>传感器触键，不需要外力操作其他开关</w:t>
      </w:r>
    </w:p>
    <w:p w:rsidR="00766F55" w:rsidRPr="00972027" w:rsidRDefault="00766F55" w:rsidP="00766F55">
      <w:pPr>
        <w:rPr>
          <w:rFonts w:ascii="等线" w:eastAsia="等线" w:hAnsi="等线" w:cs="宋体"/>
          <w:color w:val="000000"/>
          <w:kern w:val="0"/>
          <w:sz w:val="24"/>
        </w:rPr>
      </w:pPr>
      <w:r w:rsidRPr="00972027">
        <w:rPr>
          <w:rFonts w:hint="eastAsia"/>
          <w:sz w:val="24"/>
        </w:rPr>
        <w:t>9.</w:t>
      </w:r>
      <w:r>
        <w:rPr>
          <w:rFonts w:hint="eastAsia"/>
          <w:sz w:val="24"/>
        </w:rPr>
        <w:t>配备</w:t>
      </w:r>
      <w:r w:rsidRPr="00972027">
        <w:rPr>
          <w:rFonts w:hint="eastAsia"/>
          <w:sz w:val="24"/>
        </w:rPr>
        <w:t>耐磨橡胶轮，可以出入电梯</w:t>
      </w:r>
      <w:r>
        <w:rPr>
          <w:rFonts w:hint="eastAsia"/>
          <w:sz w:val="24"/>
        </w:rPr>
        <w:t>等</w:t>
      </w:r>
      <w:r w:rsidRPr="00972027">
        <w:rPr>
          <w:rFonts w:hint="eastAsia"/>
          <w:sz w:val="24"/>
        </w:rPr>
        <w:t>区域</w:t>
      </w:r>
    </w:p>
    <w:p w:rsidR="00766F55" w:rsidRPr="00972027" w:rsidRDefault="00766F55" w:rsidP="00766F55">
      <w:pPr>
        <w:rPr>
          <w:sz w:val="24"/>
        </w:rPr>
      </w:pPr>
      <w:r w:rsidRPr="00972027">
        <w:rPr>
          <w:rFonts w:hint="eastAsia"/>
          <w:sz w:val="24"/>
        </w:rPr>
        <w:t>10.</w:t>
      </w:r>
      <w:r w:rsidRPr="00972027">
        <w:rPr>
          <w:rFonts w:hint="eastAsia"/>
          <w:sz w:val="24"/>
        </w:rPr>
        <w:t>电池规格：锂电池。</w:t>
      </w:r>
    </w:p>
    <w:p w:rsidR="00766F55" w:rsidRPr="00972027" w:rsidRDefault="00766F55" w:rsidP="00766F55">
      <w:pPr>
        <w:rPr>
          <w:sz w:val="24"/>
        </w:rPr>
      </w:pPr>
      <w:r w:rsidRPr="00972027">
        <w:rPr>
          <w:rFonts w:hint="eastAsia"/>
          <w:sz w:val="24"/>
        </w:rPr>
        <w:t>11.</w:t>
      </w:r>
      <w:r>
        <w:rPr>
          <w:rFonts w:hint="eastAsia"/>
          <w:sz w:val="24"/>
        </w:rPr>
        <w:t>▲</w:t>
      </w:r>
      <w:r w:rsidRPr="00972027">
        <w:rPr>
          <w:rFonts w:hint="eastAsia"/>
          <w:sz w:val="24"/>
        </w:rPr>
        <w:t>充电装置：工作电源：</w:t>
      </w:r>
      <w:r>
        <w:rPr>
          <w:rFonts w:hint="eastAsia"/>
          <w:sz w:val="24"/>
        </w:rPr>
        <w:t>AC100V-240V</w:t>
      </w:r>
      <w:r>
        <w:rPr>
          <w:rFonts w:hint="eastAsia"/>
          <w:sz w:val="24"/>
        </w:rPr>
        <w:t>，</w:t>
      </w:r>
      <w:r w:rsidRPr="00972027">
        <w:rPr>
          <w:rFonts w:hint="eastAsia"/>
          <w:sz w:val="24"/>
        </w:rPr>
        <w:t>输出电源：</w:t>
      </w:r>
      <w:r>
        <w:rPr>
          <w:rFonts w:hint="eastAsia"/>
          <w:sz w:val="24"/>
        </w:rPr>
        <w:t>DC29V</w:t>
      </w:r>
      <w:r>
        <w:rPr>
          <w:rFonts w:hint="eastAsia"/>
          <w:sz w:val="24"/>
        </w:rPr>
        <w:t>，</w:t>
      </w:r>
      <w:r w:rsidRPr="00972027">
        <w:rPr>
          <w:rFonts w:hint="eastAsia"/>
          <w:sz w:val="24"/>
        </w:rPr>
        <w:t xml:space="preserve"> 1.65A</w:t>
      </w:r>
    </w:p>
    <w:p w:rsidR="00766F55" w:rsidRPr="00972027" w:rsidRDefault="00766F55" w:rsidP="00766F55">
      <w:pPr>
        <w:rPr>
          <w:sz w:val="24"/>
        </w:rPr>
      </w:pPr>
      <w:r w:rsidRPr="00972027">
        <w:rPr>
          <w:rFonts w:hint="eastAsia"/>
          <w:sz w:val="24"/>
        </w:rPr>
        <w:t>12.</w:t>
      </w:r>
      <w:r w:rsidRPr="00972027">
        <w:rPr>
          <w:rFonts w:hint="eastAsia"/>
          <w:sz w:val="24"/>
        </w:rPr>
        <w:t>配有警示灯，在能见度低的环境下提高安全性</w:t>
      </w:r>
    </w:p>
    <w:p w:rsidR="00766F55" w:rsidRPr="00972027" w:rsidRDefault="00766F55" w:rsidP="00766F55">
      <w:pPr>
        <w:rPr>
          <w:sz w:val="24"/>
        </w:rPr>
      </w:pPr>
      <w:r w:rsidRPr="00972027">
        <w:rPr>
          <w:rFonts w:hint="eastAsia"/>
          <w:sz w:val="24"/>
        </w:rPr>
        <w:t>13.</w:t>
      </w:r>
      <w:r w:rsidRPr="00972027">
        <w:rPr>
          <w:rFonts w:hint="eastAsia"/>
          <w:sz w:val="24"/>
        </w:rPr>
        <w:t>床垫材料</w:t>
      </w:r>
      <w:r>
        <w:rPr>
          <w:rFonts w:hint="eastAsia"/>
          <w:sz w:val="24"/>
        </w:rPr>
        <w:t>要求为</w:t>
      </w:r>
      <w:r w:rsidRPr="00972027">
        <w:rPr>
          <w:rFonts w:hint="eastAsia"/>
          <w:sz w:val="24"/>
        </w:rPr>
        <w:t>PVC</w:t>
      </w:r>
      <w:r w:rsidRPr="00972027">
        <w:rPr>
          <w:rFonts w:hint="eastAsia"/>
          <w:sz w:val="24"/>
        </w:rPr>
        <w:t>双面弹性革，床垫</w:t>
      </w:r>
      <w:r>
        <w:rPr>
          <w:rFonts w:hint="eastAsia"/>
          <w:sz w:val="24"/>
        </w:rPr>
        <w:t>材质为</w:t>
      </w:r>
      <w:r w:rsidRPr="00972027">
        <w:rPr>
          <w:rFonts w:hint="eastAsia"/>
          <w:sz w:val="24"/>
        </w:rPr>
        <w:t>海绵高密度记忆海绵。</w:t>
      </w:r>
    </w:p>
    <w:p w:rsidR="00766F55" w:rsidRPr="00972027" w:rsidRDefault="00766F55" w:rsidP="00766F55">
      <w:pPr>
        <w:rPr>
          <w:sz w:val="24"/>
        </w:rPr>
      </w:pPr>
      <w:r>
        <w:rPr>
          <w:rFonts w:hint="eastAsia"/>
          <w:sz w:val="24"/>
        </w:rPr>
        <w:t>14.</w:t>
      </w:r>
      <w:r w:rsidRPr="00972027">
        <w:rPr>
          <w:rFonts w:hint="eastAsia"/>
          <w:sz w:val="24"/>
        </w:rPr>
        <w:t>配置清单：</w:t>
      </w:r>
    </w:p>
    <w:p w:rsidR="00766F55" w:rsidRPr="00972027" w:rsidRDefault="00766F55" w:rsidP="00766F55">
      <w:pPr>
        <w:rPr>
          <w:sz w:val="24"/>
        </w:rPr>
      </w:pPr>
      <w:r>
        <w:rPr>
          <w:rFonts w:hint="eastAsia"/>
          <w:sz w:val="24"/>
        </w:rPr>
        <w:t>▲</w:t>
      </w:r>
      <w:r>
        <w:rPr>
          <w:rFonts w:hint="eastAsia"/>
          <w:sz w:val="24"/>
        </w:rPr>
        <w:t>14.1</w:t>
      </w:r>
      <w:r w:rsidRPr="00972027">
        <w:rPr>
          <w:rFonts w:hint="eastAsia"/>
          <w:sz w:val="24"/>
        </w:rPr>
        <w:t>电动担架（床面部分：装载转运设备的面板、安全带；床架部分：上车轮架、</w:t>
      </w:r>
      <w:proofErr w:type="gramStart"/>
      <w:r w:rsidRPr="00972027">
        <w:rPr>
          <w:rFonts w:hint="eastAsia"/>
          <w:sz w:val="24"/>
        </w:rPr>
        <w:t>左右床梁</w:t>
      </w:r>
      <w:proofErr w:type="gramEnd"/>
      <w:r w:rsidRPr="00972027">
        <w:rPr>
          <w:rFonts w:hint="eastAsia"/>
          <w:sz w:val="24"/>
        </w:rPr>
        <w:t>、后扶手、输液架；升降部分：升降机构、</w:t>
      </w:r>
      <w:proofErr w:type="gramStart"/>
      <w:r w:rsidRPr="00972027">
        <w:rPr>
          <w:rFonts w:hint="eastAsia"/>
          <w:sz w:val="24"/>
        </w:rPr>
        <w:t>电夜推杆</w:t>
      </w:r>
      <w:proofErr w:type="gramEnd"/>
      <w:r w:rsidRPr="00972027">
        <w:rPr>
          <w:rFonts w:hint="eastAsia"/>
          <w:sz w:val="24"/>
        </w:rPr>
        <w:t>、下支撑组件、脚轮；电控部分：驱动器、可充电锂电池、控制面板）</w:t>
      </w:r>
    </w:p>
    <w:p w:rsidR="00766F55" w:rsidRPr="00972027" w:rsidRDefault="00766F55" w:rsidP="00766F55">
      <w:pPr>
        <w:rPr>
          <w:sz w:val="24"/>
        </w:rPr>
      </w:pPr>
      <w:r>
        <w:rPr>
          <w:rFonts w:hint="eastAsia"/>
          <w:sz w:val="24"/>
        </w:rPr>
        <w:t>▲</w:t>
      </w:r>
      <w:r>
        <w:rPr>
          <w:rFonts w:hint="eastAsia"/>
          <w:sz w:val="24"/>
        </w:rPr>
        <w:t>14.2</w:t>
      </w:r>
      <w:r w:rsidRPr="00972027">
        <w:rPr>
          <w:rFonts w:hint="eastAsia"/>
          <w:sz w:val="24"/>
        </w:rPr>
        <w:t>电动担架专用平台（可车载充电）</w:t>
      </w:r>
    </w:p>
    <w:p w:rsidR="00766F55" w:rsidRPr="00972027" w:rsidRDefault="00766F55" w:rsidP="00766F55">
      <w:pPr>
        <w:rPr>
          <w:sz w:val="24"/>
        </w:rPr>
      </w:pPr>
      <w:r>
        <w:rPr>
          <w:rFonts w:hint="eastAsia"/>
          <w:sz w:val="24"/>
        </w:rPr>
        <w:t>▲</w:t>
      </w:r>
      <w:r>
        <w:rPr>
          <w:rFonts w:hint="eastAsia"/>
          <w:sz w:val="24"/>
        </w:rPr>
        <w:t>14.3</w:t>
      </w:r>
      <w:r w:rsidRPr="00972027">
        <w:rPr>
          <w:rFonts w:hint="eastAsia"/>
          <w:sz w:val="24"/>
        </w:rPr>
        <w:t>充电器</w:t>
      </w:r>
    </w:p>
    <w:p w:rsidR="00C5048A" w:rsidRPr="00766F55" w:rsidRDefault="00766F55">
      <w:pPr>
        <w:rPr>
          <w:sz w:val="24"/>
        </w:rPr>
      </w:pPr>
      <w:r>
        <w:rPr>
          <w:rFonts w:hint="eastAsia"/>
          <w:sz w:val="24"/>
        </w:rPr>
        <w:t>▲</w:t>
      </w:r>
      <w:r>
        <w:rPr>
          <w:rFonts w:hint="eastAsia"/>
          <w:sz w:val="24"/>
        </w:rPr>
        <w:t>14.5</w:t>
      </w:r>
      <w:r w:rsidRPr="00972027">
        <w:rPr>
          <w:rFonts w:hint="eastAsia"/>
          <w:sz w:val="24"/>
        </w:rPr>
        <w:t>装载婴儿转运设备的面板</w:t>
      </w:r>
    </w:p>
    <w:sectPr w:rsidR="00C5048A" w:rsidRPr="00766F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F55" w:rsidRDefault="00766F55" w:rsidP="00766F55">
      <w:r>
        <w:separator/>
      </w:r>
    </w:p>
  </w:endnote>
  <w:endnote w:type="continuationSeparator" w:id="0">
    <w:p w:rsidR="00766F55" w:rsidRDefault="00766F55" w:rsidP="0076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F55" w:rsidRDefault="00766F55" w:rsidP="00766F55">
      <w:r>
        <w:separator/>
      </w:r>
    </w:p>
  </w:footnote>
  <w:footnote w:type="continuationSeparator" w:id="0">
    <w:p w:rsidR="00766F55" w:rsidRDefault="00766F55" w:rsidP="00766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AE"/>
    <w:rsid w:val="00075AAE"/>
    <w:rsid w:val="00766F55"/>
    <w:rsid w:val="00C5048A"/>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55"/>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766F55"/>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766F55"/>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6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6F55"/>
    <w:rPr>
      <w:sz w:val="18"/>
      <w:szCs w:val="18"/>
    </w:rPr>
  </w:style>
  <w:style w:type="paragraph" w:styleId="a4">
    <w:name w:val="footer"/>
    <w:basedOn w:val="a"/>
    <w:link w:val="Char0"/>
    <w:uiPriority w:val="99"/>
    <w:unhideWhenUsed/>
    <w:rsid w:val="00766F55"/>
    <w:pPr>
      <w:tabs>
        <w:tab w:val="center" w:pos="4153"/>
        <w:tab w:val="right" w:pos="8306"/>
      </w:tabs>
      <w:snapToGrid w:val="0"/>
      <w:jc w:val="left"/>
    </w:pPr>
    <w:rPr>
      <w:sz w:val="18"/>
      <w:szCs w:val="18"/>
    </w:rPr>
  </w:style>
  <w:style w:type="character" w:customStyle="1" w:styleId="Char0">
    <w:name w:val="页脚 Char"/>
    <w:basedOn w:val="a0"/>
    <w:link w:val="a4"/>
    <w:uiPriority w:val="99"/>
    <w:rsid w:val="00766F55"/>
    <w:rPr>
      <w:sz w:val="18"/>
      <w:szCs w:val="18"/>
    </w:rPr>
  </w:style>
  <w:style w:type="character" w:customStyle="1" w:styleId="2Char">
    <w:name w:val="标题 2 Char"/>
    <w:basedOn w:val="a0"/>
    <w:link w:val="2"/>
    <w:rsid w:val="00766F55"/>
    <w:rPr>
      <w:rFonts w:ascii="Arial" w:eastAsia="仿宋_GB2312" w:hAnsi="Arial" w:cs="Times New Roman"/>
      <w:b/>
      <w:bCs/>
      <w:sz w:val="28"/>
      <w:szCs w:val="32"/>
    </w:rPr>
  </w:style>
  <w:style w:type="character" w:customStyle="1" w:styleId="3Char">
    <w:name w:val="标题 3 Char"/>
    <w:basedOn w:val="a0"/>
    <w:link w:val="3"/>
    <w:qFormat/>
    <w:rsid w:val="00766F55"/>
    <w:rPr>
      <w:rFonts w:ascii="Times New Roman" w:eastAsia="仿宋_GB2312" w:hAnsi="Times New Roman" w:cs="Times New Roman"/>
      <w:b/>
      <w:bCs/>
      <w:sz w:val="28"/>
      <w:szCs w:val="32"/>
    </w:rPr>
  </w:style>
  <w:style w:type="paragraph" w:styleId="a5">
    <w:name w:val="List Paragraph"/>
    <w:basedOn w:val="a"/>
    <w:uiPriority w:val="99"/>
    <w:qFormat/>
    <w:rsid w:val="00766F5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55"/>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766F55"/>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766F55"/>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6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6F55"/>
    <w:rPr>
      <w:sz w:val="18"/>
      <w:szCs w:val="18"/>
    </w:rPr>
  </w:style>
  <w:style w:type="paragraph" w:styleId="a4">
    <w:name w:val="footer"/>
    <w:basedOn w:val="a"/>
    <w:link w:val="Char0"/>
    <w:uiPriority w:val="99"/>
    <w:unhideWhenUsed/>
    <w:rsid w:val="00766F55"/>
    <w:pPr>
      <w:tabs>
        <w:tab w:val="center" w:pos="4153"/>
        <w:tab w:val="right" w:pos="8306"/>
      </w:tabs>
      <w:snapToGrid w:val="0"/>
      <w:jc w:val="left"/>
    </w:pPr>
    <w:rPr>
      <w:sz w:val="18"/>
      <w:szCs w:val="18"/>
    </w:rPr>
  </w:style>
  <w:style w:type="character" w:customStyle="1" w:styleId="Char0">
    <w:name w:val="页脚 Char"/>
    <w:basedOn w:val="a0"/>
    <w:link w:val="a4"/>
    <w:uiPriority w:val="99"/>
    <w:rsid w:val="00766F55"/>
    <w:rPr>
      <w:sz w:val="18"/>
      <w:szCs w:val="18"/>
    </w:rPr>
  </w:style>
  <w:style w:type="character" w:customStyle="1" w:styleId="2Char">
    <w:name w:val="标题 2 Char"/>
    <w:basedOn w:val="a0"/>
    <w:link w:val="2"/>
    <w:rsid w:val="00766F55"/>
    <w:rPr>
      <w:rFonts w:ascii="Arial" w:eastAsia="仿宋_GB2312" w:hAnsi="Arial" w:cs="Times New Roman"/>
      <w:b/>
      <w:bCs/>
      <w:sz w:val="28"/>
      <w:szCs w:val="32"/>
    </w:rPr>
  </w:style>
  <w:style w:type="character" w:customStyle="1" w:styleId="3Char">
    <w:name w:val="标题 3 Char"/>
    <w:basedOn w:val="a0"/>
    <w:link w:val="3"/>
    <w:qFormat/>
    <w:rsid w:val="00766F55"/>
    <w:rPr>
      <w:rFonts w:ascii="Times New Roman" w:eastAsia="仿宋_GB2312" w:hAnsi="Times New Roman" w:cs="Times New Roman"/>
      <w:b/>
      <w:bCs/>
      <w:sz w:val="28"/>
      <w:szCs w:val="32"/>
    </w:rPr>
  </w:style>
  <w:style w:type="paragraph" w:styleId="a5">
    <w:name w:val="List Paragraph"/>
    <w:basedOn w:val="a"/>
    <w:uiPriority w:val="99"/>
    <w:qFormat/>
    <w:rsid w:val="00766F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2021-09-22T08:46:00Z</dcterms:created>
  <dcterms:modified xsi:type="dcterms:W3CDTF">2021-09-22T08:46:00Z</dcterms:modified>
</cp:coreProperties>
</file>