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8ED" w:rsidRPr="00C45FE6" w:rsidRDefault="00E158ED" w:rsidP="00E158ED">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E158ED" w:rsidRPr="008E2C68" w:rsidRDefault="00E158ED" w:rsidP="00E158ED">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2460"/>
        <w:gridCol w:w="1035"/>
      </w:tblGrid>
      <w:tr w:rsidR="00E158ED" w:rsidTr="00E158ED">
        <w:trPr>
          <w:trHeight w:val="456"/>
          <w:jc w:val="center"/>
        </w:trPr>
        <w:tc>
          <w:tcPr>
            <w:tcW w:w="925" w:type="pct"/>
            <w:vAlign w:val="center"/>
          </w:tcPr>
          <w:p w:rsidR="00E158ED" w:rsidRDefault="00E158ED" w:rsidP="00CD11D4">
            <w:pPr>
              <w:spacing w:line="276" w:lineRule="auto"/>
              <w:ind w:rightChars="12" w:right="34"/>
              <w:jc w:val="center"/>
              <w:rPr>
                <w:rFonts w:ascii="宋体" w:hAnsi="宋体"/>
                <w:b/>
                <w:bCs/>
                <w:sz w:val="24"/>
              </w:rPr>
            </w:pPr>
            <w:r>
              <w:rPr>
                <w:rFonts w:ascii="宋体" w:hAnsi="宋体" w:hint="eastAsia"/>
                <w:b/>
                <w:bCs/>
                <w:sz w:val="24"/>
              </w:rPr>
              <w:t>序号</w:t>
            </w:r>
          </w:p>
        </w:tc>
        <w:tc>
          <w:tcPr>
            <w:tcW w:w="2868" w:type="pct"/>
            <w:vAlign w:val="center"/>
          </w:tcPr>
          <w:p w:rsidR="00E158ED" w:rsidRDefault="00E158ED" w:rsidP="00CD11D4">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E158ED" w:rsidRDefault="00E158ED" w:rsidP="00CD11D4">
            <w:pPr>
              <w:spacing w:line="276" w:lineRule="auto"/>
              <w:jc w:val="center"/>
              <w:rPr>
                <w:rFonts w:ascii="宋体" w:hAnsi="宋体"/>
                <w:b/>
                <w:bCs/>
                <w:sz w:val="24"/>
              </w:rPr>
            </w:pPr>
            <w:bookmarkStart w:id="0" w:name="_GoBack"/>
            <w:bookmarkEnd w:id="0"/>
            <w:r>
              <w:rPr>
                <w:rFonts w:ascii="宋体" w:hAnsi="宋体" w:hint="eastAsia"/>
                <w:b/>
                <w:bCs/>
                <w:sz w:val="24"/>
              </w:rPr>
              <w:t>数量</w:t>
            </w:r>
          </w:p>
        </w:tc>
      </w:tr>
      <w:tr w:rsidR="00E158ED" w:rsidTr="00E158ED">
        <w:trPr>
          <w:trHeight w:val="822"/>
          <w:jc w:val="center"/>
        </w:trPr>
        <w:tc>
          <w:tcPr>
            <w:tcW w:w="925" w:type="pct"/>
            <w:vAlign w:val="center"/>
          </w:tcPr>
          <w:p w:rsidR="00E158ED" w:rsidRDefault="00E158ED" w:rsidP="00CD11D4">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8" w:type="pct"/>
            <w:vAlign w:val="center"/>
          </w:tcPr>
          <w:p w:rsidR="00E158ED" w:rsidRPr="00A777EC" w:rsidRDefault="00E158ED" w:rsidP="00CD11D4">
            <w:pPr>
              <w:spacing w:line="276" w:lineRule="auto"/>
              <w:jc w:val="center"/>
              <w:rPr>
                <w:rFonts w:asciiTheme="minorEastAsia" w:hAnsiTheme="minorEastAsia" w:cs="宋体"/>
                <w:bCs/>
                <w:color w:val="000000"/>
                <w:szCs w:val="21"/>
              </w:rPr>
            </w:pPr>
            <w:r>
              <w:rPr>
                <w:rFonts w:asciiTheme="majorEastAsia" w:eastAsiaTheme="majorEastAsia" w:hAnsiTheme="majorEastAsia" w:hint="eastAsia"/>
                <w:szCs w:val="21"/>
              </w:rPr>
              <w:t>乳房横切面模型</w:t>
            </w:r>
          </w:p>
        </w:tc>
        <w:tc>
          <w:tcPr>
            <w:tcW w:w="1207" w:type="pct"/>
            <w:vAlign w:val="center"/>
          </w:tcPr>
          <w:p w:rsidR="00E158ED" w:rsidRPr="00A777EC" w:rsidRDefault="00E158ED" w:rsidP="00CD11D4">
            <w:pPr>
              <w:jc w:val="center"/>
              <w:rPr>
                <w:rFonts w:asciiTheme="minorEastAsia" w:hAnsiTheme="minorEastAsia" w:cs="宋体"/>
                <w:bCs/>
                <w:color w:val="000000"/>
                <w:szCs w:val="21"/>
              </w:rPr>
            </w:pPr>
            <w:r>
              <w:rPr>
                <w:rFonts w:asciiTheme="minorEastAsia" w:hAnsiTheme="minorEastAsia" w:cs="宋体" w:hint="eastAsia"/>
                <w:bCs/>
                <w:color w:val="000000"/>
                <w:szCs w:val="21"/>
              </w:rPr>
              <w:t>9</w:t>
            </w:r>
          </w:p>
        </w:tc>
      </w:tr>
      <w:tr w:rsidR="00E158ED" w:rsidTr="00E158ED">
        <w:trPr>
          <w:trHeight w:val="822"/>
          <w:jc w:val="center"/>
        </w:trPr>
        <w:tc>
          <w:tcPr>
            <w:tcW w:w="925" w:type="pct"/>
            <w:vAlign w:val="center"/>
          </w:tcPr>
          <w:p w:rsidR="00E158ED" w:rsidRDefault="00E158ED" w:rsidP="00CD11D4">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8" w:type="pct"/>
            <w:vAlign w:val="center"/>
          </w:tcPr>
          <w:p w:rsidR="00E158ED" w:rsidRDefault="00E158ED" w:rsidP="00CD11D4">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带可交换结节的乳房模型</w:t>
            </w:r>
          </w:p>
        </w:tc>
        <w:tc>
          <w:tcPr>
            <w:tcW w:w="1207" w:type="pct"/>
            <w:vAlign w:val="center"/>
          </w:tcPr>
          <w:p w:rsidR="00E158ED" w:rsidRPr="00A777EC" w:rsidRDefault="00E158ED" w:rsidP="00CD11D4">
            <w:pPr>
              <w:jc w:val="center"/>
              <w:rPr>
                <w:rFonts w:asciiTheme="minorEastAsia" w:hAnsiTheme="minorEastAsia" w:cs="宋体"/>
                <w:bCs/>
                <w:color w:val="000000"/>
                <w:szCs w:val="21"/>
              </w:rPr>
            </w:pPr>
            <w:r>
              <w:rPr>
                <w:rFonts w:asciiTheme="minorEastAsia" w:hAnsiTheme="minorEastAsia" w:cs="宋体" w:hint="eastAsia"/>
                <w:bCs/>
                <w:color w:val="000000"/>
                <w:szCs w:val="21"/>
              </w:rPr>
              <w:t>4</w:t>
            </w:r>
          </w:p>
        </w:tc>
      </w:tr>
      <w:tr w:rsidR="00E158ED" w:rsidTr="00E158ED">
        <w:trPr>
          <w:trHeight w:val="822"/>
          <w:jc w:val="center"/>
        </w:trPr>
        <w:tc>
          <w:tcPr>
            <w:tcW w:w="925" w:type="pct"/>
            <w:vAlign w:val="center"/>
          </w:tcPr>
          <w:p w:rsidR="00E158ED" w:rsidRDefault="00E158ED" w:rsidP="00CD11D4">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8" w:type="pct"/>
            <w:vAlign w:val="center"/>
          </w:tcPr>
          <w:p w:rsidR="00E158ED" w:rsidRDefault="00E158ED" w:rsidP="00CD11D4">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高级乳房教学模型</w:t>
            </w:r>
          </w:p>
        </w:tc>
        <w:tc>
          <w:tcPr>
            <w:tcW w:w="1207" w:type="pct"/>
            <w:vAlign w:val="center"/>
          </w:tcPr>
          <w:p w:rsidR="00E158ED" w:rsidRDefault="00E158ED" w:rsidP="00CD11D4">
            <w:pPr>
              <w:jc w:val="center"/>
              <w:rPr>
                <w:rFonts w:asciiTheme="minorEastAsia" w:hAnsiTheme="minorEastAsia" w:cs="宋体"/>
                <w:bCs/>
                <w:color w:val="000000"/>
                <w:szCs w:val="21"/>
              </w:rPr>
            </w:pPr>
            <w:r>
              <w:rPr>
                <w:rFonts w:asciiTheme="minorEastAsia" w:hAnsiTheme="minorEastAsia" w:cs="宋体" w:hint="eastAsia"/>
                <w:bCs/>
                <w:color w:val="000000"/>
                <w:szCs w:val="21"/>
              </w:rPr>
              <w:t>2</w:t>
            </w:r>
          </w:p>
        </w:tc>
      </w:tr>
    </w:tbl>
    <w:p w:rsidR="00E158ED" w:rsidRDefault="00E158ED" w:rsidP="00E158ED">
      <w:pPr>
        <w:spacing w:beforeLines="50" w:before="156" w:line="276" w:lineRule="auto"/>
        <w:jc w:val="left"/>
        <w:rPr>
          <w:rFonts w:ascii="宋体" w:hAnsi="宋体"/>
          <w:color w:val="FF0000"/>
          <w:sz w:val="24"/>
        </w:rPr>
      </w:pPr>
      <w:r w:rsidRPr="00520092">
        <w:rPr>
          <w:rFonts w:ascii="宋体" w:hAnsi="宋体" w:hint="eastAsia"/>
          <w:color w:val="FF0000"/>
          <w:sz w:val="24"/>
        </w:rPr>
        <w:t>说明：</w:t>
      </w:r>
    </w:p>
    <w:p w:rsidR="00E158ED" w:rsidRPr="00520092" w:rsidRDefault="00E158ED" w:rsidP="00E158ED">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E158ED" w:rsidRDefault="00E158ED" w:rsidP="00E158ED">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E158ED" w:rsidRPr="0054632F" w:rsidRDefault="00E158ED" w:rsidP="00E158ED">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w:t>
      </w:r>
      <w:r>
        <w:rPr>
          <w:rFonts w:ascii="宋体" w:hAnsi="宋体" w:hint="eastAsia"/>
          <w:color w:val="FF0000"/>
          <w:sz w:val="24"/>
        </w:rPr>
        <w:t>7</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E158ED" w:rsidRDefault="00E158ED" w:rsidP="00E158ED">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E158ED" w:rsidRDefault="00E158ED" w:rsidP="00E158ED">
      <w:pPr>
        <w:rPr>
          <w:rFonts w:asciiTheme="minorEastAsia" w:eastAsiaTheme="minorEastAsia" w:hAnsiTheme="minorEastAsia"/>
          <w:sz w:val="24"/>
        </w:rPr>
      </w:pPr>
      <w:r w:rsidRPr="00F307F0">
        <w:rPr>
          <w:rFonts w:ascii="宋体" w:hAnsi="宋体" w:hint="eastAsia"/>
          <w:b/>
          <w:color w:val="FF0000"/>
          <w:sz w:val="24"/>
        </w:rPr>
        <w:t>备注：提供原厂技术彩页，原厂技术彩页必须支持投标产品。</w:t>
      </w:r>
      <w:r w:rsidRPr="000F1CAE">
        <w:rPr>
          <w:rFonts w:asciiTheme="minorEastAsia" w:eastAsiaTheme="minorEastAsia" w:hAnsiTheme="minorEastAsia" w:hint="eastAsia"/>
          <w:sz w:val="24"/>
        </w:rPr>
        <w:tab/>
      </w:r>
    </w:p>
    <w:p w:rsidR="00E158ED" w:rsidRPr="00FC1755" w:rsidRDefault="00E158ED" w:rsidP="00E158ED">
      <w:pPr>
        <w:spacing w:line="360" w:lineRule="auto"/>
        <w:rPr>
          <w:rFonts w:asciiTheme="minorEastAsia" w:eastAsiaTheme="minorEastAsia" w:hAnsiTheme="minorEastAsia"/>
          <w:b/>
          <w:sz w:val="24"/>
        </w:rPr>
      </w:pPr>
      <w:r w:rsidRPr="00FC1755">
        <w:rPr>
          <w:rFonts w:asciiTheme="minorEastAsia" w:eastAsiaTheme="minorEastAsia" w:hAnsiTheme="minorEastAsia" w:hint="eastAsia"/>
          <w:b/>
          <w:sz w:val="24"/>
        </w:rPr>
        <w:t>设备一、乳房横切面模型9套</w:t>
      </w:r>
    </w:p>
    <w:p w:rsidR="00E158ED" w:rsidRPr="00FC1755" w:rsidRDefault="00E158ED" w:rsidP="00E158ED">
      <w:pPr>
        <w:spacing w:line="360" w:lineRule="auto"/>
        <w:rPr>
          <w:rFonts w:asciiTheme="minorEastAsia" w:eastAsiaTheme="minorEastAsia" w:hAnsiTheme="minorEastAsia"/>
          <w:sz w:val="24"/>
        </w:rPr>
      </w:pPr>
      <w:r w:rsidRPr="00FC1755">
        <w:rPr>
          <w:rFonts w:asciiTheme="minorEastAsia" w:eastAsiaTheme="minorEastAsia" w:hAnsiTheme="minorEastAsia" w:hint="eastAsia"/>
          <w:sz w:val="24"/>
        </w:rPr>
        <w:t>1、真实大小的乳房横切面，描述一般病变，如：腺癌、囊肿、纤维腺瘤、渗透性硬癌。</w:t>
      </w:r>
    </w:p>
    <w:p w:rsidR="00E158ED" w:rsidRPr="00FC1755" w:rsidRDefault="00E158ED" w:rsidP="00E158ED">
      <w:pPr>
        <w:spacing w:line="360" w:lineRule="auto"/>
        <w:rPr>
          <w:rFonts w:asciiTheme="minorEastAsia" w:eastAsiaTheme="minorEastAsia" w:hAnsiTheme="minorEastAsia"/>
          <w:b/>
          <w:sz w:val="24"/>
        </w:rPr>
      </w:pPr>
      <w:r w:rsidRPr="00FC1755">
        <w:rPr>
          <w:rFonts w:asciiTheme="minorEastAsia" w:eastAsiaTheme="minorEastAsia" w:hAnsiTheme="minorEastAsia" w:hint="eastAsia"/>
          <w:sz w:val="24"/>
        </w:rPr>
        <w:t>2、模型同时展示乳房构造，如：乳房悬韧带、脂肪组织、淋巴结、肌肉、肋骨。</w:t>
      </w:r>
    </w:p>
    <w:p w:rsidR="00E158ED" w:rsidRPr="00FC1755" w:rsidRDefault="00E158ED" w:rsidP="00E158ED">
      <w:pPr>
        <w:spacing w:line="360" w:lineRule="auto"/>
        <w:rPr>
          <w:rFonts w:asciiTheme="minorEastAsia" w:eastAsiaTheme="minorEastAsia" w:hAnsiTheme="minorEastAsia"/>
          <w:b/>
          <w:sz w:val="24"/>
        </w:rPr>
      </w:pPr>
      <w:r w:rsidRPr="00FC1755">
        <w:rPr>
          <w:rFonts w:asciiTheme="minorEastAsia" w:eastAsiaTheme="minorEastAsia" w:hAnsiTheme="minorEastAsia" w:hint="eastAsia"/>
          <w:b/>
          <w:sz w:val="24"/>
        </w:rPr>
        <w:t>设备二、带可交换结节的乳房模型</w:t>
      </w:r>
      <w:r>
        <w:rPr>
          <w:rFonts w:asciiTheme="minorEastAsia" w:eastAsiaTheme="minorEastAsia" w:hAnsiTheme="minorEastAsia" w:hint="eastAsia"/>
          <w:b/>
          <w:sz w:val="24"/>
        </w:rPr>
        <w:t>4套</w:t>
      </w:r>
    </w:p>
    <w:p w:rsidR="00E158ED" w:rsidRPr="00FC1755" w:rsidRDefault="00E158ED" w:rsidP="00E158ED">
      <w:pPr>
        <w:spacing w:line="360" w:lineRule="auto"/>
        <w:rPr>
          <w:rFonts w:asciiTheme="minorEastAsia" w:eastAsiaTheme="minorEastAsia" w:hAnsiTheme="minorEastAsia"/>
          <w:sz w:val="24"/>
        </w:rPr>
      </w:pPr>
      <w:r w:rsidRPr="00FC1755">
        <w:rPr>
          <w:rFonts w:asciiTheme="minorEastAsia" w:eastAsiaTheme="minorEastAsia" w:hAnsiTheme="minorEastAsia" w:hint="eastAsia"/>
          <w:sz w:val="24"/>
        </w:rPr>
        <w:t xml:space="preserve">1、模型带5 </w:t>
      </w:r>
      <w:proofErr w:type="gramStart"/>
      <w:r w:rsidRPr="00FC1755">
        <w:rPr>
          <w:rFonts w:asciiTheme="minorEastAsia" w:eastAsiaTheme="minorEastAsia" w:hAnsiTheme="minorEastAsia" w:hint="eastAsia"/>
          <w:sz w:val="24"/>
        </w:rPr>
        <w:t>个</w:t>
      </w:r>
      <w:proofErr w:type="gramEnd"/>
      <w:r w:rsidRPr="00FC1755">
        <w:rPr>
          <w:rFonts w:asciiTheme="minorEastAsia" w:eastAsiaTheme="minorEastAsia" w:hAnsiTheme="minorEastAsia" w:hint="eastAsia"/>
          <w:sz w:val="24"/>
        </w:rPr>
        <w:t>不同尺寸的结节，可在乳房后面嵌入或拆卸</w:t>
      </w:r>
    </w:p>
    <w:p w:rsidR="00E158ED" w:rsidRPr="00FC1755" w:rsidRDefault="00E158ED" w:rsidP="00E158ED">
      <w:pPr>
        <w:spacing w:line="360" w:lineRule="auto"/>
        <w:rPr>
          <w:rFonts w:asciiTheme="minorEastAsia" w:eastAsiaTheme="minorEastAsia" w:hAnsiTheme="minorEastAsia"/>
          <w:sz w:val="24"/>
        </w:rPr>
      </w:pPr>
      <w:r w:rsidRPr="00FC1755">
        <w:rPr>
          <w:rFonts w:asciiTheme="minorEastAsia" w:eastAsiaTheme="minorEastAsia" w:hAnsiTheme="minorEastAsia" w:hint="eastAsia"/>
          <w:sz w:val="24"/>
        </w:rPr>
        <w:t>2、可进行乳房X 线影像术和乳房自我检查。</w:t>
      </w:r>
    </w:p>
    <w:p w:rsidR="00E158ED" w:rsidRPr="00FC1755" w:rsidRDefault="00E158ED" w:rsidP="00E158ED">
      <w:pPr>
        <w:spacing w:line="360" w:lineRule="auto"/>
        <w:rPr>
          <w:rFonts w:asciiTheme="minorEastAsia" w:eastAsiaTheme="minorEastAsia" w:hAnsiTheme="minorEastAsia"/>
          <w:b/>
          <w:sz w:val="24"/>
        </w:rPr>
      </w:pPr>
      <w:r w:rsidRPr="00FC1755">
        <w:rPr>
          <w:rFonts w:asciiTheme="minorEastAsia" w:eastAsiaTheme="minorEastAsia" w:hAnsiTheme="minorEastAsia" w:hint="eastAsia"/>
          <w:b/>
          <w:sz w:val="24"/>
        </w:rPr>
        <w:t>设备三、高级乳房教学模型</w:t>
      </w:r>
      <w:r>
        <w:rPr>
          <w:rFonts w:asciiTheme="minorEastAsia" w:eastAsiaTheme="minorEastAsia" w:hAnsiTheme="minorEastAsia" w:hint="eastAsia"/>
          <w:b/>
          <w:sz w:val="24"/>
        </w:rPr>
        <w:t>2</w:t>
      </w:r>
      <w:r w:rsidRPr="00FC1755">
        <w:rPr>
          <w:rFonts w:asciiTheme="minorEastAsia" w:eastAsiaTheme="minorEastAsia" w:hAnsiTheme="minorEastAsia" w:hint="eastAsia"/>
          <w:b/>
          <w:sz w:val="24"/>
        </w:rPr>
        <w:t>套</w:t>
      </w:r>
    </w:p>
    <w:p w:rsidR="00E158ED" w:rsidRPr="00FC1755" w:rsidRDefault="00E158ED" w:rsidP="00E158ED">
      <w:pPr>
        <w:spacing w:line="360" w:lineRule="auto"/>
        <w:rPr>
          <w:rFonts w:asciiTheme="minorEastAsia" w:eastAsiaTheme="minorEastAsia" w:hAnsiTheme="minorEastAsia"/>
          <w:sz w:val="24"/>
        </w:rPr>
      </w:pPr>
      <w:r w:rsidRPr="00FC1755">
        <w:rPr>
          <w:rFonts w:asciiTheme="minorEastAsia" w:eastAsiaTheme="minorEastAsia" w:hAnsiTheme="minorEastAsia" w:hint="eastAsia"/>
          <w:sz w:val="24"/>
        </w:rPr>
        <w:t>1、</w:t>
      </w:r>
      <w:r w:rsidRPr="00FC1755">
        <w:rPr>
          <w:rFonts w:asciiTheme="minorEastAsia" w:eastAsiaTheme="minorEastAsia" w:hAnsiTheme="minorEastAsia"/>
          <w:sz w:val="24"/>
        </w:rPr>
        <w:t>模型为成年女性乳房，模拟乳房中的组织密度大小不同，与真人类似。</w:t>
      </w:r>
    </w:p>
    <w:p w:rsidR="00E158ED" w:rsidRDefault="00E158ED" w:rsidP="00E158ED">
      <w:pPr>
        <w:spacing w:line="360" w:lineRule="auto"/>
        <w:rPr>
          <w:rFonts w:asciiTheme="minorEastAsia" w:eastAsiaTheme="minorEastAsia" w:hAnsiTheme="minorEastAsia"/>
          <w:sz w:val="24"/>
        </w:rPr>
      </w:pPr>
      <w:r w:rsidRPr="00FC1755">
        <w:rPr>
          <w:rFonts w:asciiTheme="minorEastAsia" w:eastAsiaTheme="minorEastAsia" w:hAnsiTheme="minorEastAsia"/>
          <w:sz w:val="24"/>
        </w:rPr>
        <w:t>2</w:t>
      </w:r>
      <w:r>
        <w:rPr>
          <w:rFonts w:asciiTheme="minorEastAsia" w:eastAsiaTheme="minorEastAsia" w:hAnsiTheme="minorEastAsia" w:hint="eastAsia"/>
          <w:sz w:val="24"/>
        </w:rPr>
        <w:t>、</w:t>
      </w:r>
      <w:r w:rsidRPr="00FC1755">
        <w:rPr>
          <w:rFonts w:asciiTheme="minorEastAsia" w:eastAsiaTheme="minorEastAsia" w:hAnsiTheme="minorEastAsia"/>
          <w:sz w:val="24"/>
        </w:rPr>
        <w:t>设有纤维腺瘤和乳腺癌等病变，纤维腺瘤的病变大小可以任意改变。</w:t>
      </w:r>
    </w:p>
    <w:p w:rsidR="00E158ED" w:rsidRPr="00FC1755" w:rsidRDefault="00E158ED" w:rsidP="00E158ED">
      <w:pPr>
        <w:spacing w:line="360" w:lineRule="auto"/>
        <w:rPr>
          <w:rFonts w:asciiTheme="minorEastAsia" w:eastAsiaTheme="minorEastAsia" w:hAnsiTheme="minorEastAsia"/>
          <w:sz w:val="24"/>
        </w:rPr>
      </w:pPr>
      <w:r w:rsidRPr="00FC1755">
        <w:rPr>
          <w:rFonts w:asciiTheme="minorEastAsia" w:eastAsiaTheme="minorEastAsia" w:hAnsiTheme="minorEastAsia"/>
          <w:sz w:val="24"/>
        </w:rPr>
        <w:t>▲</w:t>
      </w:r>
      <w:r w:rsidRPr="00FC1755">
        <w:rPr>
          <w:rFonts w:asciiTheme="minorEastAsia" w:eastAsiaTheme="minorEastAsia" w:hAnsiTheme="minorEastAsia" w:hint="eastAsia"/>
          <w:sz w:val="24"/>
        </w:rPr>
        <w:t>3</w:t>
      </w:r>
      <w:r>
        <w:rPr>
          <w:rFonts w:asciiTheme="minorEastAsia" w:eastAsiaTheme="minorEastAsia" w:hAnsiTheme="minorEastAsia" w:hint="eastAsia"/>
          <w:sz w:val="24"/>
        </w:rPr>
        <w:t>、</w:t>
      </w:r>
      <w:r w:rsidRPr="00FC1755">
        <w:rPr>
          <w:rFonts w:asciiTheme="minorEastAsia" w:eastAsiaTheme="minorEastAsia" w:hAnsiTheme="minorEastAsia" w:hint="eastAsia"/>
          <w:sz w:val="24"/>
        </w:rPr>
        <w:t>内置的病变模块包括：腋窝淋巴结、3厘米星状肿块、2 x 3 cm椭圆形肿</w:t>
      </w:r>
      <w:r w:rsidRPr="00FC1755">
        <w:rPr>
          <w:rFonts w:asciiTheme="minorEastAsia" w:eastAsiaTheme="minorEastAsia" w:hAnsiTheme="minorEastAsia" w:hint="eastAsia"/>
          <w:sz w:val="24"/>
        </w:rPr>
        <w:lastRenderedPageBreak/>
        <w:t>块（纤维腺瘤）、2厘米圆形的浅表肿块（囊肿）、2厘米圆形表面肿块、锁骨下淋巴结、1厘米圆形表面肿块， 3厘米不规则，延伸至胸壁并凹陷部件、1厘米圆形表面浅肿块、乳头内陷、1厘米深部圆形肿块、</w:t>
      </w:r>
      <w:r w:rsidRPr="00FC1755">
        <w:rPr>
          <w:rFonts w:asciiTheme="minorEastAsia" w:eastAsiaTheme="minorEastAsia" w:hAnsiTheme="minorEastAsia"/>
          <w:sz w:val="24"/>
        </w:rPr>
        <w:t>皮肤水肿呈橘皮征</w:t>
      </w:r>
      <w:r w:rsidRPr="00FC1755">
        <w:rPr>
          <w:rFonts w:asciiTheme="minorEastAsia" w:eastAsiaTheme="minorEastAsia" w:hAnsiTheme="minorEastAsia" w:hint="eastAsia"/>
          <w:sz w:val="24"/>
        </w:rPr>
        <w:t>。</w:t>
      </w:r>
    </w:p>
    <w:p w:rsidR="00E158ED" w:rsidRPr="00FC1755" w:rsidRDefault="00E158ED" w:rsidP="00E158ED">
      <w:pPr>
        <w:spacing w:line="360" w:lineRule="auto"/>
        <w:rPr>
          <w:rFonts w:asciiTheme="minorEastAsia" w:eastAsiaTheme="minorEastAsia" w:hAnsiTheme="minorEastAsia"/>
          <w:sz w:val="24"/>
        </w:rPr>
      </w:pPr>
      <w:r w:rsidRPr="00FC1755">
        <w:rPr>
          <w:rFonts w:asciiTheme="minorEastAsia" w:eastAsiaTheme="minorEastAsia" w:hAnsiTheme="minorEastAsia" w:hint="eastAsia"/>
          <w:sz w:val="24"/>
        </w:rPr>
        <w:t>4</w:t>
      </w:r>
      <w:r>
        <w:rPr>
          <w:rFonts w:asciiTheme="minorEastAsia" w:eastAsiaTheme="minorEastAsia" w:hAnsiTheme="minorEastAsia" w:hint="eastAsia"/>
          <w:sz w:val="24"/>
        </w:rPr>
        <w:t>、</w:t>
      </w:r>
      <w:r w:rsidRPr="00FC1755">
        <w:rPr>
          <w:rFonts w:asciiTheme="minorEastAsia" w:eastAsiaTheme="minorEastAsia" w:hAnsiTheme="minorEastAsia"/>
          <w:sz w:val="24"/>
        </w:rPr>
        <w:t>可作扩展训练，可模拟腺瘤，囊肿，恶性肿瘤，淋巴结增大。</w:t>
      </w:r>
    </w:p>
    <w:p w:rsidR="00E158ED" w:rsidRPr="00FC1755" w:rsidRDefault="00E158ED" w:rsidP="00E158ED">
      <w:pPr>
        <w:spacing w:line="360" w:lineRule="auto"/>
        <w:rPr>
          <w:rFonts w:asciiTheme="minorEastAsia" w:eastAsiaTheme="minorEastAsia" w:hAnsiTheme="minorEastAsia"/>
          <w:sz w:val="24"/>
        </w:rPr>
      </w:pPr>
      <w:r w:rsidRPr="00FC1755">
        <w:rPr>
          <w:rFonts w:asciiTheme="minorEastAsia" w:eastAsiaTheme="minorEastAsia" w:hAnsiTheme="minorEastAsia" w:hint="eastAsia"/>
          <w:sz w:val="24"/>
        </w:rPr>
        <w:t>5</w:t>
      </w:r>
      <w:r>
        <w:rPr>
          <w:rFonts w:asciiTheme="minorEastAsia" w:eastAsiaTheme="minorEastAsia" w:hAnsiTheme="minorEastAsia" w:hint="eastAsia"/>
          <w:sz w:val="24"/>
        </w:rPr>
        <w:t>、</w:t>
      </w:r>
      <w:r w:rsidRPr="00FC1755">
        <w:rPr>
          <w:rFonts w:asciiTheme="minorEastAsia" w:eastAsiaTheme="minorEastAsia" w:hAnsiTheme="minorEastAsia"/>
          <w:sz w:val="24"/>
        </w:rPr>
        <w:t>乳房自检法练习,练习鉴别诊断乳房纤维腺瘤和乳腺癌。</w:t>
      </w:r>
    </w:p>
    <w:p w:rsidR="00E158ED" w:rsidRPr="00FC1755" w:rsidRDefault="00E158ED" w:rsidP="00E158ED">
      <w:pPr>
        <w:spacing w:line="360" w:lineRule="auto"/>
        <w:rPr>
          <w:rFonts w:asciiTheme="minorEastAsia" w:eastAsiaTheme="minorEastAsia" w:hAnsiTheme="minorEastAsia"/>
          <w:b/>
          <w:sz w:val="24"/>
        </w:rPr>
      </w:pPr>
      <w:r w:rsidRPr="00FC1755">
        <w:rPr>
          <w:rFonts w:asciiTheme="minorEastAsia" w:eastAsiaTheme="minorEastAsia" w:hAnsiTheme="minorEastAsia"/>
          <w:sz w:val="24"/>
        </w:rPr>
        <w:t>▲</w:t>
      </w:r>
      <w:r w:rsidRPr="00FC1755">
        <w:rPr>
          <w:rFonts w:asciiTheme="minorEastAsia" w:eastAsiaTheme="minorEastAsia" w:hAnsiTheme="minorEastAsia" w:hint="eastAsia"/>
          <w:sz w:val="24"/>
        </w:rPr>
        <w:t>6</w:t>
      </w:r>
      <w:r>
        <w:rPr>
          <w:rFonts w:asciiTheme="minorEastAsia" w:eastAsiaTheme="minorEastAsia" w:hAnsiTheme="minorEastAsia" w:hint="eastAsia"/>
          <w:sz w:val="24"/>
        </w:rPr>
        <w:t>、</w:t>
      </w:r>
      <w:r w:rsidRPr="00FC1755">
        <w:rPr>
          <w:rFonts w:asciiTheme="minorEastAsia" w:eastAsiaTheme="minorEastAsia" w:hAnsiTheme="minorEastAsia"/>
          <w:sz w:val="24"/>
        </w:rPr>
        <w:t>模型外皮可取下, 进行异常体征的</w:t>
      </w:r>
      <w:r w:rsidRPr="00FC1755">
        <w:rPr>
          <w:rFonts w:asciiTheme="minorEastAsia" w:eastAsiaTheme="minorEastAsia" w:hAnsiTheme="minorEastAsia" w:hint="eastAsia"/>
          <w:sz w:val="24"/>
        </w:rPr>
        <w:t>更换</w:t>
      </w:r>
      <w:r w:rsidRPr="00FC1755">
        <w:rPr>
          <w:rFonts w:asciiTheme="minorEastAsia" w:eastAsiaTheme="minorEastAsia" w:hAnsiTheme="minorEastAsia"/>
          <w:sz w:val="24"/>
        </w:rPr>
        <w:t>设置，两侧乳房组织科单独取下，方便进行各类乳房病变组织的更换</w:t>
      </w:r>
    </w:p>
    <w:p w:rsidR="00C5048A" w:rsidRPr="00E158ED" w:rsidRDefault="00C5048A"/>
    <w:sectPr w:rsidR="00C5048A" w:rsidRPr="00E158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8ED" w:rsidRDefault="00E158ED" w:rsidP="00E158ED">
      <w:r>
        <w:separator/>
      </w:r>
    </w:p>
  </w:endnote>
  <w:endnote w:type="continuationSeparator" w:id="0">
    <w:p w:rsidR="00E158ED" w:rsidRDefault="00E158ED" w:rsidP="00E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8ED" w:rsidRDefault="00E158ED" w:rsidP="00E158ED">
      <w:r>
        <w:separator/>
      </w:r>
    </w:p>
  </w:footnote>
  <w:footnote w:type="continuationSeparator" w:id="0">
    <w:p w:rsidR="00E158ED" w:rsidRDefault="00E158ED" w:rsidP="00E158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E86"/>
    <w:rsid w:val="00C5048A"/>
    <w:rsid w:val="00E158ED"/>
    <w:rsid w:val="00E62E86"/>
    <w:rsid w:val="00FA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8ED"/>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E158ED"/>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E158ED"/>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58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58ED"/>
    <w:rPr>
      <w:sz w:val="18"/>
      <w:szCs w:val="18"/>
    </w:rPr>
  </w:style>
  <w:style w:type="paragraph" w:styleId="a4">
    <w:name w:val="footer"/>
    <w:basedOn w:val="a"/>
    <w:link w:val="Char0"/>
    <w:uiPriority w:val="99"/>
    <w:unhideWhenUsed/>
    <w:rsid w:val="00E158ED"/>
    <w:pPr>
      <w:tabs>
        <w:tab w:val="center" w:pos="4153"/>
        <w:tab w:val="right" w:pos="8306"/>
      </w:tabs>
      <w:snapToGrid w:val="0"/>
      <w:jc w:val="left"/>
    </w:pPr>
    <w:rPr>
      <w:sz w:val="18"/>
      <w:szCs w:val="18"/>
    </w:rPr>
  </w:style>
  <w:style w:type="character" w:customStyle="1" w:styleId="Char0">
    <w:name w:val="页脚 Char"/>
    <w:basedOn w:val="a0"/>
    <w:link w:val="a4"/>
    <w:uiPriority w:val="99"/>
    <w:rsid w:val="00E158ED"/>
    <w:rPr>
      <w:sz w:val="18"/>
      <w:szCs w:val="18"/>
    </w:rPr>
  </w:style>
  <w:style w:type="character" w:customStyle="1" w:styleId="2Char">
    <w:name w:val="标题 2 Char"/>
    <w:basedOn w:val="a0"/>
    <w:link w:val="2"/>
    <w:rsid w:val="00E158ED"/>
    <w:rPr>
      <w:rFonts w:ascii="Arial" w:eastAsia="仿宋_GB2312" w:hAnsi="Arial" w:cs="Times New Roman"/>
      <w:b/>
      <w:bCs/>
      <w:sz w:val="28"/>
      <w:szCs w:val="32"/>
    </w:rPr>
  </w:style>
  <w:style w:type="character" w:customStyle="1" w:styleId="3Char">
    <w:name w:val="标题 3 Char"/>
    <w:basedOn w:val="a0"/>
    <w:link w:val="3"/>
    <w:qFormat/>
    <w:rsid w:val="00E158ED"/>
    <w:rPr>
      <w:rFonts w:ascii="Times New Roman" w:eastAsia="仿宋_GB2312" w:hAnsi="Times New Roman" w:cs="Times New Roman"/>
      <w:b/>
      <w:bCs/>
      <w:sz w:val="28"/>
      <w:szCs w:val="32"/>
    </w:rPr>
  </w:style>
  <w:style w:type="paragraph" w:styleId="a5">
    <w:name w:val="List Paragraph"/>
    <w:basedOn w:val="a"/>
    <w:uiPriority w:val="99"/>
    <w:qFormat/>
    <w:rsid w:val="00E158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8ED"/>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E158ED"/>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E158ED"/>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58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58ED"/>
    <w:rPr>
      <w:sz w:val="18"/>
      <w:szCs w:val="18"/>
    </w:rPr>
  </w:style>
  <w:style w:type="paragraph" w:styleId="a4">
    <w:name w:val="footer"/>
    <w:basedOn w:val="a"/>
    <w:link w:val="Char0"/>
    <w:uiPriority w:val="99"/>
    <w:unhideWhenUsed/>
    <w:rsid w:val="00E158ED"/>
    <w:pPr>
      <w:tabs>
        <w:tab w:val="center" w:pos="4153"/>
        <w:tab w:val="right" w:pos="8306"/>
      </w:tabs>
      <w:snapToGrid w:val="0"/>
      <w:jc w:val="left"/>
    </w:pPr>
    <w:rPr>
      <w:sz w:val="18"/>
      <w:szCs w:val="18"/>
    </w:rPr>
  </w:style>
  <w:style w:type="character" w:customStyle="1" w:styleId="Char0">
    <w:name w:val="页脚 Char"/>
    <w:basedOn w:val="a0"/>
    <w:link w:val="a4"/>
    <w:uiPriority w:val="99"/>
    <w:rsid w:val="00E158ED"/>
    <w:rPr>
      <w:sz w:val="18"/>
      <w:szCs w:val="18"/>
    </w:rPr>
  </w:style>
  <w:style w:type="character" w:customStyle="1" w:styleId="2Char">
    <w:name w:val="标题 2 Char"/>
    <w:basedOn w:val="a0"/>
    <w:link w:val="2"/>
    <w:rsid w:val="00E158ED"/>
    <w:rPr>
      <w:rFonts w:ascii="Arial" w:eastAsia="仿宋_GB2312" w:hAnsi="Arial" w:cs="Times New Roman"/>
      <w:b/>
      <w:bCs/>
      <w:sz w:val="28"/>
      <w:szCs w:val="32"/>
    </w:rPr>
  </w:style>
  <w:style w:type="character" w:customStyle="1" w:styleId="3Char">
    <w:name w:val="标题 3 Char"/>
    <w:basedOn w:val="a0"/>
    <w:link w:val="3"/>
    <w:qFormat/>
    <w:rsid w:val="00E158ED"/>
    <w:rPr>
      <w:rFonts w:ascii="Times New Roman" w:eastAsia="仿宋_GB2312" w:hAnsi="Times New Roman" w:cs="Times New Roman"/>
      <w:b/>
      <w:bCs/>
      <w:sz w:val="28"/>
      <w:szCs w:val="32"/>
    </w:rPr>
  </w:style>
  <w:style w:type="paragraph" w:styleId="a5">
    <w:name w:val="List Paragraph"/>
    <w:basedOn w:val="a"/>
    <w:uiPriority w:val="99"/>
    <w:qFormat/>
    <w:rsid w:val="00E158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2021-09-29T03:26:00Z</dcterms:created>
  <dcterms:modified xsi:type="dcterms:W3CDTF">2021-09-29T03:26:00Z</dcterms:modified>
</cp:coreProperties>
</file>